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959DF" w14:textId="7561D4B1" w:rsidR="00D9260C" w:rsidRPr="003F0401" w:rsidRDefault="00D9260C" w:rsidP="00D9260C">
      <w:pPr>
        <w:suppressAutoHyphens/>
        <w:spacing w:line="360" w:lineRule="auto"/>
        <w:ind w:left="720"/>
        <w:contextualSpacing/>
        <w:jc w:val="center"/>
        <w:rPr>
          <w:rFonts w:ascii="Helvetica" w:eastAsia="Calibri" w:hAnsi="Helvetica"/>
          <w:b/>
          <w:sz w:val="28"/>
          <w:szCs w:val="28"/>
        </w:rPr>
      </w:pPr>
      <w:bookmarkStart w:id="0" w:name="_Toc239505745"/>
      <w:r w:rsidRPr="00353F7B">
        <w:rPr>
          <w:rFonts w:ascii="Helvetica" w:eastAsia="Calibri" w:hAnsi="Helvetica"/>
          <w:b/>
          <w:noProof/>
          <w:sz w:val="24"/>
          <w:szCs w:val="24"/>
        </w:rPr>
        <w:drawing>
          <wp:anchor distT="0" distB="0" distL="114300" distR="114300" simplePos="0" relativeHeight="251658752" behindDoc="0" locked="0" layoutInCell="1" allowOverlap="1" wp14:anchorId="5A1C6E0A" wp14:editId="7B938A1B">
            <wp:simplePos x="0" y="0"/>
            <wp:positionH relativeFrom="column">
              <wp:posOffset>-222250</wp:posOffset>
            </wp:positionH>
            <wp:positionV relativeFrom="paragraph">
              <wp:posOffset>-641350</wp:posOffset>
            </wp:positionV>
            <wp:extent cx="2559050" cy="889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370" b="27778"/>
                    <a:stretch>
                      <a:fillRect/>
                    </a:stretch>
                  </pic:blipFill>
                  <pic:spPr>
                    <a:xfrm>
                      <a:off x="0" y="0"/>
                      <a:ext cx="2559050" cy="889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00C39">
        <w:rPr>
          <w:rFonts w:ascii="Nyala" w:hAnsi="Nyala"/>
          <w:b/>
          <w:sz w:val="32"/>
          <w:szCs w:val="32"/>
        </w:rPr>
        <w:t xml:space="preserve">                       </w:t>
      </w:r>
      <w:r w:rsidRPr="003F0401">
        <w:rPr>
          <w:b/>
          <w:sz w:val="28"/>
          <w:szCs w:val="28"/>
        </w:rPr>
        <w:t>Amhara Bank S.C</w:t>
      </w:r>
    </w:p>
    <w:p w14:paraId="22AF2E96" w14:textId="214609CF" w:rsidR="00300C39" w:rsidRPr="003F0401" w:rsidRDefault="00C51FD8" w:rsidP="00D9260C">
      <w:pPr>
        <w:suppressAutoHyphens/>
        <w:spacing w:line="360" w:lineRule="auto"/>
        <w:ind w:left="720"/>
        <w:contextualSpacing/>
        <w:jc w:val="center"/>
        <w:rPr>
          <w:b/>
          <w:sz w:val="28"/>
          <w:szCs w:val="28"/>
        </w:rPr>
      </w:pPr>
      <w:r w:rsidRPr="003F0401">
        <w:rPr>
          <w:b/>
          <w:sz w:val="28"/>
          <w:szCs w:val="28"/>
        </w:rPr>
        <w:t>International</w:t>
      </w:r>
      <w:r w:rsidR="00D9260C" w:rsidRPr="003F0401">
        <w:rPr>
          <w:b/>
          <w:sz w:val="28"/>
          <w:szCs w:val="28"/>
        </w:rPr>
        <w:t xml:space="preserve"> Competitive Bid (</w:t>
      </w:r>
      <w:r w:rsidRPr="003F0401">
        <w:rPr>
          <w:b/>
          <w:sz w:val="28"/>
          <w:szCs w:val="28"/>
        </w:rPr>
        <w:t>I</w:t>
      </w:r>
      <w:r w:rsidR="00D9260C" w:rsidRPr="003F0401">
        <w:rPr>
          <w:b/>
          <w:sz w:val="28"/>
          <w:szCs w:val="28"/>
        </w:rPr>
        <w:t>CB)</w:t>
      </w:r>
    </w:p>
    <w:bookmarkEnd w:id="0"/>
    <w:p w14:paraId="74DE67CD" w14:textId="77777777" w:rsidR="003F0401" w:rsidRDefault="003F0401" w:rsidP="00300C39">
      <w:pPr>
        <w:spacing w:line="360" w:lineRule="auto"/>
        <w:jc w:val="center"/>
        <w:rPr>
          <w:b/>
          <w:sz w:val="36"/>
          <w:szCs w:val="36"/>
          <w:u w:val="double"/>
        </w:rPr>
      </w:pPr>
    </w:p>
    <w:p w14:paraId="359B00BE" w14:textId="7BB89FFB" w:rsidR="00300C39" w:rsidRPr="00251F23" w:rsidRDefault="00300C39" w:rsidP="00300C39">
      <w:pPr>
        <w:spacing w:line="360" w:lineRule="auto"/>
        <w:jc w:val="center"/>
        <w:rPr>
          <w:b/>
          <w:sz w:val="36"/>
          <w:szCs w:val="36"/>
          <w:u w:val="double"/>
        </w:rPr>
      </w:pPr>
      <w:r>
        <w:rPr>
          <w:b/>
          <w:sz w:val="36"/>
          <w:szCs w:val="36"/>
          <w:u w:val="double"/>
        </w:rPr>
        <w:t xml:space="preserve">Invitation to International Competitive Bid </w:t>
      </w:r>
      <w:r w:rsidRPr="00251F23">
        <w:rPr>
          <w:b/>
          <w:sz w:val="36"/>
          <w:szCs w:val="36"/>
          <w:u w:val="double"/>
        </w:rPr>
        <w:t>(</w:t>
      </w:r>
      <w:r>
        <w:rPr>
          <w:b/>
          <w:sz w:val="36"/>
          <w:szCs w:val="36"/>
          <w:u w:val="double"/>
        </w:rPr>
        <w:t>ICB</w:t>
      </w:r>
      <w:r w:rsidRPr="00251F23">
        <w:rPr>
          <w:b/>
          <w:sz w:val="36"/>
          <w:szCs w:val="36"/>
          <w:u w:val="double"/>
        </w:rPr>
        <w:t>)</w:t>
      </w:r>
    </w:p>
    <w:p w14:paraId="1678411B" w14:textId="77777777" w:rsidR="00300C39" w:rsidRDefault="00300C39" w:rsidP="00300C39">
      <w:pPr>
        <w:spacing w:line="360" w:lineRule="auto"/>
        <w:jc w:val="center"/>
        <w:rPr>
          <w:b/>
          <w:sz w:val="24"/>
          <w:szCs w:val="24"/>
          <w:u w:val="double"/>
        </w:rPr>
      </w:pPr>
    </w:p>
    <w:p w14:paraId="1E66789C" w14:textId="3EFB631D" w:rsidR="00300C39" w:rsidRPr="00251F23" w:rsidRDefault="003F0401" w:rsidP="00300C39">
      <w:pPr>
        <w:spacing w:line="360" w:lineRule="auto"/>
        <w:jc w:val="center"/>
        <w:rPr>
          <w:b/>
          <w:sz w:val="28"/>
          <w:szCs w:val="28"/>
          <w:u w:val="double"/>
        </w:rPr>
      </w:pPr>
      <w:r>
        <w:rPr>
          <w:b/>
          <w:sz w:val="28"/>
          <w:szCs w:val="28"/>
          <w:u w:val="double"/>
        </w:rPr>
        <w:t xml:space="preserve">Bid </w:t>
      </w:r>
      <w:r w:rsidR="00300C39" w:rsidRPr="00251F23">
        <w:rPr>
          <w:b/>
          <w:sz w:val="28"/>
          <w:szCs w:val="28"/>
          <w:u w:val="double"/>
        </w:rPr>
        <w:t>Ref</w:t>
      </w:r>
      <w:r>
        <w:rPr>
          <w:b/>
          <w:sz w:val="28"/>
          <w:szCs w:val="28"/>
          <w:u w:val="double"/>
        </w:rPr>
        <w:t xml:space="preserve">erence </w:t>
      </w:r>
      <w:r w:rsidRPr="00251F23">
        <w:rPr>
          <w:b/>
          <w:sz w:val="28"/>
          <w:szCs w:val="28"/>
          <w:u w:val="double"/>
        </w:rPr>
        <w:t>N</w:t>
      </w:r>
      <w:r>
        <w:rPr>
          <w:b/>
          <w:sz w:val="28"/>
          <w:szCs w:val="28"/>
          <w:u w:val="double"/>
        </w:rPr>
        <w:t>umber: - ABa/PFMD/ICB</w:t>
      </w:r>
      <w:r w:rsidR="00300C39" w:rsidRPr="00251F23">
        <w:rPr>
          <w:b/>
          <w:sz w:val="28"/>
          <w:szCs w:val="28"/>
          <w:u w:val="double"/>
        </w:rPr>
        <w:t>/0</w:t>
      </w:r>
      <w:r>
        <w:rPr>
          <w:b/>
          <w:sz w:val="28"/>
          <w:szCs w:val="28"/>
          <w:u w:val="double"/>
        </w:rPr>
        <w:t>28</w:t>
      </w:r>
      <w:r w:rsidR="00300C39" w:rsidRPr="00251F23">
        <w:rPr>
          <w:b/>
          <w:sz w:val="28"/>
          <w:szCs w:val="28"/>
          <w:u w:val="double"/>
        </w:rPr>
        <w:t>/20</w:t>
      </w:r>
      <w:r w:rsidR="00300C39">
        <w:rPr>
          <w:b/>
          <w:sz w:val="28"/>
          <w:szCs w:val="28"/>
          <w:u w:val="double"/>
        </w:rPr>
        <w:t>2</w:t>
      </w:r>
      <w:r>
        <w:rPr>
          <w:b/>
          <w:sz w:val="28"/>
          <w:szCs w:val="28"/>
          <w:u w:val="double"/>
        </w:rPr>
        <w:t>5</w:t>
      </w:r>
    </w:p>
    <w:p w14:paraId="5C2DBD4E" w14:textId="77777777" w:rsidR="00300C39" w:rsidRPr="00933F64" w:rsidRDefault="00300C39" w:rsidP="00300C39">
      <w:pPr>
        <w:spacing w:line="360" w:lineRule="auto"/>
        <w:ind w:left="3600" w:firstLine="720"/>
        <w:jc w:val="right"/>
        <w:rPr>
          <w:b/>
          <w:sz w:val="10"/>
        </w:rPr>
      </w:pPr>
    </w:p>
    <w:p w14:paraId="61C441DC" w14:textId="0CD9AF50" w:rsidR="00300C39" w:rsidRDefault="00D9260C" w:rsidP="00294F9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Amhara</w:t>
      </w:r>
      <w:r w:rsidR="00300C39" w:rsidRPr="00EB329D">
        <w:rPr>
          <w:sz w:val="24"/>
          <w:szCs w:val="24"/>
        </w:rPr>
        <w:t xml:space="preserve"> Bank </w:t>
      </w:r>
      <w:r>
        <w:rPr>
          <w:sz w:val="24"/>
          <w:szCs w:val="24"/>
        </w:rPr>
        <w:t xml:space="preserve">S.C </w:t>
      </w:r>
      <w:r w:rsidR="00300C39" w:rsidRPr="00EB329D">
        <w:rPr>
          <w:sz w:val="24"/>
          <w:szCs w:val="24"/>
        </w:rPr>
        <w:t xml:space="preserve">invites eligible Companies for </w:t>
      </w:r>
      <w:r w:rsidRPr="003F0401">
        <w:rPr>
          <w:b/>
          <w:bCs/>
          <w:sz w:val="24"/>
          <w:szCs w:val="24"/>
          <w:u w:val="thick"/>
        </w:rPr>
        <w:t>S</w:t>
      </w:r>
      <w:r w:rsidR="00300C39" w:rsidRPr="003F0401">
        <w:rPr>
          <w:b/>
          <w:bCs/>
          <w:sz w:val="24"/>
          <w:szCs w:val="24"/>
          <w:u w:val="thick"/>
        </w:rPr>
        <w:t xml:space="preserve">upply and Implementation of </w:t>
      </w:r>
      <w:r w:rsidR="0003486C" w:rsidRPr="001A3FB3">
        <w:rPr>
          <w:b/>
          <w:bCs/>
          <w:color w:val="FF0000"/>
          <w:sz w:val="24"/>
          <w:szCs w:val="24"/>
          <w:u w:val="thick"/>
        </w:rPr>
        <w:t>Enterprise</w:t>
      </w:r>
      <w:r w:rsidRPr="003F0401">
        <w:rPr>
          <w:b/>
          <w:bCs/>
          <w:sz w:val="24"/>
          <w:szCs w:val="24"/>
          <w:u w:val="thick"/>
        </w:rPr>
        <w:t xml:space="preserve"> Transaction Reconciliation Solution</w:t>
      </w:r>
      <w:r w:rsidR="00300C39" w:rsidRPr="003F0401">
        <w:rPr>
          <w:b/>
          <w:bCs/>
          <w:sz w:val="24"/>
          <w:szCs w:val="24"/>
          <w:u w:val="thick"/>
        </w:rPr>
        <w:t>.</w:t>
      </w:r>
      <w:r w:rsidR="00300C39" w:rsidRPr="00EB329D">
        <w:rPr>
          <w:sz w:val="24"/>
          <w:szCs w:val="24"/>
        </w:rPr>
        <w:t xml:space="preserve"> </w:t>
      </w:r>
    </w:p>
    <w:p w14:paraId="411F7DAC" w14:textId="512447D1" w:rsidR="00300C39" w:rsidRPr="00EB329D" w:rsidRDefault="00300C39" w:rsidP="00294F9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EB329D">
        <w:rPr>
          <w:sz w:val="24"/>
          <w:szCs w:val="24"/>
        </w:rPr>
        <w:t>Bid document shall be obtained from the office of Procurement and Facilit</w:t>
      </w:r>
      <w:r w:rsidR="00D9260C">
        <w:rPr>
          <w:sz w:val="24"/>
          <w:szCs w:val="24"/>
        </w:rPr>
        <w:t>ies Management</w:t>
      </w:r>
      <w:r w:rsidRPr="00EB329D">
        <w:rPr>
          <w:sz w:val="24"/>
          <w:szCs w:val="24"/>
        </w:rPr>
        <w:t xml:space="preserve"> Directorate located at </w:t>
      </w:r>
      <w:r w:rsidR="00D9260C">
        <w:rPr>
          <w:sz w:val="24"/>
          <w:szCs w:val="24"/>
        </w:rPr>
        <w:t>Amhara</w:t>
      </w:r>
      <w:r w:rsidRPr="00EB329D">
        <w:rPr>
          <w:sz w:val="24"/>
          <w:szCs w:val="24"/>
        </w:rPr>
        <w:t xml:space="preserve"> bank Head office</w:t>
      </w:r>
      <w:r w:rsidR="00D9260C">
        <w:rPr>
          <w:sz w:val="24"/>
          <w:szCs w:val="24"/>
        </w:rPr>
        <w:t>,</w:t>
      </w:r>
      <w:r w:rsidRPr="00EB329D">
        <w:rPr>
          <w:sz w:val="24"/>
          <w:szCs w:val="24"/>
        </w:rPr>
        <w:t xml:space="preserve"> </w:t>
      </w:r>
      <w:r w:rsidR="00D9260C">
        <w:rPr>
          <w:sz w:val="24"/>
          <w:szCs w:val="24"/>
        </w:rPr>
        <w:t>ORDA Tower</w:t>
      </w:r>
      <w:r w:rsidRPr="00EB329D">
        <w:rPr>
          <w:sz w:val="24"/>
          <w:szCs w:val="24"/>
        </w:rPr>
        <w:t xml:space="preserve"> </w:t>
      </w:r>
      <w:r w:rsidR="00D9260C">
        <w:rPr>
          <w:sz w:val="24"/>
          <w:szCs w:val="24"/>
        </w:rPr>
        <w:t>20</w:t>
      </w:r>
      <w:r w:rsidRPr="00EB329D">
        <w:rPr>
          <w:sz w:val="24"/>
          <w:szCs w:val="24"/>
          <w:vertAlign w:val="superscript"/>
        </w:rPr>
        <w:t>th</w:t>
      </w:r>
      <w:r w:rsidRPr="00EB329D">
        <w:rPr>
          <w:sz w:val="24"/>
          <w:szCs w:val="24"/>
        </w:rPr>
        <w:t xml:space="preserve"> floor</w:t>
      </w:r>
      <w:r w:rsidR="00D9260C">
        <w:rPr>
          <w:sz w:val="24"/>
          <w:szCs w:val="24"/>
        </w:rPr>
        <w:t xml:space="preserve"> </w:t>
      </w:r>
      <w:r w:rsidRPr="00EB329D">
        <w:rPr>
          <w:sz w:val="24"/>
          <w:szCs w:val="24"/>
        </w:rPr>
        <w:t xml:space="preserve">Around </w:t>
      </w:r>
      <w:proofErr w:type="spellStart"/>
      <w:r w:rsidR="00D9260C">
        <w:rPr>
          <w:sz w:val="24"/>
          <w:szCs w:val="24"/>
        </w:rPr>
        <w:t>Legahar</w:t>
      </w:r>
      <w:proofErr w:type="spellEnd"/>
      <w:r w:rsidR="00D9260C">
        <w:rPr>
          <w:sz w:val="24"/>
          <w:szCs w:val="24"/>
        </w:rPr>
        <w:t xml:space="preserve">, </w:t>
      </w:r>
      <w:r w:rsidRPr="00EB329D">
        <w:rPr>
          <w:sz w:val="24"/>
          <w:szCs w:val="24"/>
        </w:rPr>
        <w:t xml:space="preserve">commencing </w:t>
      </w:r>
      <w:r w:rsidR="00D9260C">
        <w:rPr>
          <w:sz w:val="24"/>
          <w:szCs w:val="24"/>
        </w:rPr>
        <w:t>April</w:t>
      </w:r>
      <w:r w:rsidRPr="00EB329D">
        <w:rPr>
          <w:sz w:val="24"/>
          <w:szCs w:val="24"/>
        </w:rPr>
        <w:t xml:space="preserve"> </w:t>
      </w:r>
      <w:r w:rsidR="00D9260C">
        <w:rPr>
          <w:sz w:val="24"/>
          <w:szCs w:val="24"/>
        </w:rPr>
        <w:t>29</w:t>
      </w:r>
      <w:r w:rsidRPr="00EB329D">
        <w:rPr>
          <w:sz w:val="24"/>
          <w:szCs w:val="24"/>
        </w:rPr>
        <w:t>, 202</w:t>
      </w:r>
      <w:r w:rsidR="00D9260C">
        <w:rPr>
          <w:sz w:val="24"/>
          <w:szCs w:val="24"/>
        </w:rPr>
        <w:t>5</w:t>
      </w:r>
      <w:r w:rsidRPr="00EB329D">
        <w:rPr>
          <w:sz w:val="24"/>
          <w:szCs w:val="24"/>
        </w:rPr>
        <w:t xml:space="preserve"> up on payment of a </w:t>
      </w:r>
      <w:r w:rsidRPr="00EB329D">
        <w:rPr>
          <w:b/>
          <w:sz w:val="24"/>
          <w:szCs w:val="24"/>
        </w:rPr>
        <w:t>non-refundable</w:t>
      </w:r>
      <w:r w:rsidRPr="00EB329D">
        <w:rPr>
          <w:sz w:val="24"/>
          <w:szCs w:val="24"/>
        </w:rPr>
        <w:t xml:space="preserve"> fee of </w:t>
      </w:r>
      <w:r w:rsidRPr="00EB329D">
        <w:rPr>
          <w:b/>
          <w:sz w:val="24"/>
          <w:szCs w:val="24"/>
        </w:rPr>
        <w:t>Birr</w:t>
      </w:r>
      <w:r w:rsidRPr="00EB329D">
        <w:rPr>
          <w:sz w:val="24"/>
          <w:szCs w:val="24"/>
        </w:rPr>
        <w:t xml:space="preserve"> </w:t>
      </w:r>
      <w:r w:rsidR="00D9260C">
        <w:rPr>
          <w:b/>
          <w:sz w:val="24"/>
          <w:szCs w:val="24"/>
        </w:rPr>
        <w:t>500.00</w:t>
      </w:r>
      <w:r w:rsidRPr="00EB329D">
        <w:rPr>
          <w:b/>
          <w:sz w:val="24"/>
          <w:szCs w:val="24"/>
        </w:rPr>
        <w:t xml:space="preserve"> (</w:t>
      </w:r>
      <w:r w:rsidR="00D9260C">
        <w:rPr>
          <w:b/>
          <w:sz w:val="24"/>
          <w:szCs w:val="24"/>
        </w:rPr>
        <w:t>Five</w:t>
      </w:r>
      <w:r w:rsidRPr="00EB329D">
        <w:rPr>
          <w:b/>
          <w:sz w:val="24"/>
          <w:szCs w:val="24"/>
        </w:rPr>
        <w:t xml:space="preserve"> Hundred Birr Only) </w:t>
      </w:r>
      <w:r w:rsidRPr="00EB329D">
        <w:rPr>
          <w:sz w:val="24"/>
          <w:szCs w:val="24"/>
        </w:rPr>
        <w:t xml:space="preserve">by depositing at </w:t>
      </w:r>
      <w:r w:rsidR="00D9260C">
        <w:rPr>
          <w:sz w:val="24"/>
          <w:szCs w:val="24"/>
        </w:rPr>
        <w:t>Amhara</w:t>
      </w:r>
      <w:r w:rsidRPr="00EB329D">
        <w:rPr>
          <w:sz w:val="24"/>
          <w:szCs w:val="24"/>
        </w:rPr>
        <w:t xml:space="preserve"> Bank S.C , </w:t>
      </w:r>
      <w:r w:rsidR="00D9260C">
        <w:rPr>
          <w:sz w:val="24"/>
          <w:szCs w:val="24"/>
        </w:rPr>
        <w:t>Addis Ababa</w:t>
      </w:r>
      <w:r w:rsidRPr="00EB329D">
        <w:rPr>
          <w:sz w:val="24"/>
          <w:szCs w:val="24"/>
        </w:rPr>
        <w:t xml:space="preserve"> Branch Head office Ground floor during office Hours (Monday to Friday 8:00-12:00 A.M, 1:00- 5:00 P.M and Saturday 8:00</w:t>
      </w:r>
      <w:r w:rsidR="00987E60">
        <w:rPr>
          <w:sz w:val="24"/>
          <w:szCs w:val="24"/>
        </w:rPr>
        <w:t xml:space="preserve"> </w:t>
      </w:r>
      <w:r w:rsidRPr="00EB329D">
        <w:rPr>
          <w:sz w:val="24"/>
          <w:szCs w:val="24"/>
        </w:rPr>
        <w:t>-</w:t>
      </w:r>
      <w:r w:rsidR="00987E60">
        <w:rPr>
          <w:sz w:val="24"/>
          <w:szCs w:val="24"/>
        </w:rPr>
        <w:t xml:space="preserve"> </w:t>
      </w:r>
      <w:r w:rsidRPr="00EB329D">
        <w:rPr>
          <w:sz w:val="24"/>
          <w:szCs w:val="24"/>
        </w:rPr>
        <w:t xml:space="preserve">12:00 A.M). </w:t>
      </w:r>
    </w:p>
    <w:p w14:paraId="702506C6" w14:textId="30C38682" w:rsidR="00300C39" w:rsidRPr="00244E9E" w:rsidRDefault="00300C39" w:rsidP="00294F9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44E9E">
        <w:rPr>
          <w:sz w:val="24"/>
          <w:szCs w:val="24"/>
        </w:rPr>
        <w:t xml:space="preserve">Bid should be accompanied by a bid security with the amount of </w:t>
      </w:r>
      <w:r w:rsidR="00275A5E">
        <w:rPr>
          <w:b/>
          <w:sz w:val="24"/>
          <w:szCs w:val="24"/>
        </w:rPr>
        <w:t>8</w:t>
      </w:r>
      <w:r w:rsidR="00C51FD8">
        <w:rPr>
          <w:b/>
          <w:sz w:val="24"/>
          <w:szCs w:val="24"/>
        </w:rPr>
        <w:t>0</w:t>
      </w:r>
      <w:r w:rsidRPr="00EB329D">
        <w:rPr>
          <w:b/>
          <w:sz w:val="24"/>
          <w:szCs w:val="24"/>
        </w:rPr>
        <w:t>0,000</w:t>
      </w:r>
      <w:r w:rsidR="00C51FD8">
        <w:rPr>
          <w:b/>
          <w:sz w:val="24"/>
          <w:szCs w:val="24"/>
        </w:rPr>
        <w:t>.00</w:t>
      </w:r>
      <w:r w:rsidRPr="00EB329D">
        <w:rPr>
          <w:b/>
          <w:sz w:val="24"/>
          <w:szCs w:val="24"/>
        </w:rPr>
        <w:t xml:space="preserve"> Birr</w:t>
      </w:r>
      <w:r w:rsidRPr="00244E9E">
        <w:rPr>
          <w:sz w:val="24"/>
          <w:szCs w:val="24"/>
        </w:rPr>
        <w:t xml:space="preserve"> </w:t>
      </w:r>
      <w:r w:rsidRPr="00F01C52">
        <w:rPr>
          <w:b/>
          <w:sz w:val="24"/>
          <w:szCs w:val="24"/>
        </w:rPr>
        <w:t>(</w:t>
      </w:r>
      <w:r w:rsidR="00275A5E">
        <w:rPr>
          <w:b/>
          <w:sz w:val="24"/>
          <w:szCs w:val="24"/>
        </w:rPr>
        <w:t>Eight</w:t>
      </w:r>
      <w:r w:rsidR="00CE25E0">
        <w:rPr>
          <w:b/>
          <w:sz w:val="24"/>
          <w:szCs w:val="24"/>
        </w:rPr>
        <w:t xml:space="preserve"> </w:t>
      </w:r>
      <w:r w:rsidR="00C51FD8">
        <w:rPr>
          <w:b/>
          <w:sz w:val="24"/>
          <w:szCs w:val="24"/>
        </w:rPr>
        <w:t>Hundred</w:t>
      </w:r>
      <w:r w:rsidRPr="00F01C52">
        <w:rPr>
          <w:b/>
          <w:sz w:val="24"/>
          <w:szCs w:val="24"/>
        </w:rPr>
        <w:t xml:space="preserve"> Thousand Birr)</w:t>
      </w:r>
      <w:r w:rsidRPr="00244E9E">
        <w:rPr>
          <w:sz w:val="24"/>
          <w:szCs w:val="24"/>
        </w:rPr>
        <w:t xml:space="preserve"> in the form of </w:t>
      </w:r>
      <w:r w:rsidRPr="00244E9E">
        <w:rPr>
          <w:b/>
          <w:sz w:val="24"/>
          <w:szCs w:val="24"/>
        </w:rPr>
        <w:t xml:space="preserve">CPO or Unconditional Bank Guarantee </w:t>
      </w:r>
      <w:r w:rsidRPr="00244E9E">
        <w:rPr>
          <w:sz w:val="24"/>
          <w:szCs w:val="24"/>
        </w:rPr>
        <w:t xml:space="preserve">in favor of </w:t>
      </w:r>
      <w:r w:rsidR="00C51FD8">
        <w:rPr>
          <w:sz w:val="24"/>
          <w:szCs w:val="24"/>
        </w:rPr>
        <w:t>Amhara</w:t>
      </w:r>
      <w:r w:rsidRPr="00244E9E">
        <w:rPr>
          <w:sz w:val="24"/>
          <w:szCs w:val="24"/>
        </w:rPr>
        <w:t xml:space="preserve"> Bank S.C. with validity period not less than </w:t>
      </w:r>
      <w:r w:rsidRPr="009D6E65">
        <w:rPr>
          <w:b/>
          <w:sz w:val="24"/>
          <w:szCs w:val="24"/>
          <w:u w:val="double"/>
        </w:rPr>
        <w:t>1</w:t>
      </w:r>
      <w:r w:rsidR="00C51FD8">
        <w:rPr>
          <w:b/>
          <w:sz w:val="24"/>
          <w:szCs w:val="24"/>
          <w:u w:val="double"/>
        </w:rPr>
        <w:t>2</w:t>
      </w:r>
      <w:r w:rsidRPr="009D6E65">
        <w:rPr>
          <w:b/>
          <w:sz w:val="24"/>
          <w:szCs w:val="24"/>
          <w:u w:val="double"/>
        </w:rPr>
        <w:t>0 days</w:t>
      </w:r>
      <w:r w:rsidRPr="00244E9E">
        <w:rPr>
          <w:sz w:val="24"/>
          <w:szCs w:val="24"/>
        </w:rPr>
        <w:t xml:space="preserve"> from the date of bid</w:t>
      </w:r>
      <w:r>
        <w:rPr>
          <w:sz w:val="24"/>
          <w:szCs w:val="24"/>
        </w:rPr>
        <w:t xml:space="preserve"> (Technical)</w:t>
      </w:r>
      <w:r w:rsidRPr="00244E9E">
        <w:rPr>
          <w:sz w:val="24"/>
          <w:szCs w:val="24"/>
        </w:rPr>
        <w:t xml:space="preserve"> opening. </w:t>
      </w:r>
      <w:r w:rsidR="00C51FD8">
        <w:rPr>
          <w:sz w:val="24"/>
          <w:szCs w:val="24"/>
        </w:rPr>
        <w:t>Bid security issued from foreign banks shall be counter guaranteed by local banks. Bid bond guarantee issued from any Amhara bank branch will not be accepted.</w:t>
      </w:r>
    </w:p>
    <w:p w14:paraId="5781CB38" w14:textId="792E283E" w:rsidR="00300C39" w:rsidRDefault="00300C39" w:rsidP="00294F9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44E9E">
        <w:rPr>
          <w:sz w:val="24"/>
          <w:szCs w:val="24"/>
        </w:rPr>
        <w:t xml:space="preserve">Bidders should submit sealed bid documents to the address specified above before or on </w:t>
      </w:r>
      <w:r w:rsidR="00D9260C">
        <w:rPr>
          <w:sz w:val="24"/>
          <w:szCs w:val="24"/>
        </w:rPr>
        <w:t>May</w:t>
      </w:r>
      <w:r w:rsidRPr="00244E9E">
        <w:rPr>
          <w:sz w:val="24"/>
          <w:szCs w:val="24"/>
        </w:rPr>
        <w:t xml:space="preserve"> </w:t>
      </w:r>
      <w:r w:rsidR="00D9260C">
        <w:rPr>
          <w:sz w:val="24"/>
          <w:szCs w:val="24"/>
        </w:rPr>
        <w:t>30</w:t>
      </w:r>
      <w:r w:rsidRPr="00244E9E">
        <w:rPr>
          <w:sz w:val="24"/>
          <w:szCs w:val="24"/>
        </w:rPr>
        <w:t>, 20</w:t>
      </w:r>
      <w:r>
        <w:rPr>
          <w:sz w:val="24"/>
          <w:szCs w:val="24"/>
        </w:rPr>
        <w:t>2</w:t>
      </w:r>
      <w:r w:rsidR="00D9260C">
        <w:rPr>
          <w:sz w:val="24"/>
          <w:szCs w:val="24"/>
        </w:rPr>
        <w:t>5</w:t>
      </w:r>
      <w:r w:rsidRPr="00244E9E">
        <w:rPr>
          <w:sz w:val="24"/>
          <w:szCs w:val="24"/>
        </w:rPr>
        <w:t xml:space="preserve"> until </w:t>
      </w:r>
      <w:r w:rsidR="00D9260C">
        <w:rPr>
          <w:sz w:val="24"/>
          <w:szCs w:val="24"/>
        </w:rPr>
        <w:t>2</w:t>
      </w:r>
      <w:r w:rsidRPr="00244E9E">
        <w:rPr>
          <w:sz w:val="24"/>
          <w:szCs w:val="24"/>
        </w:rPr>
        <w:t>:</w:t>
      </w:r>
      <w:r w:rsidR="00D9260C">
        <w:rPr>
          <w:sz w:val="24"/>
          <w:szCs w:val="24"/>
        </w:rPr>
        <w:t>0</w:t>
      </w:r>
      <w:r w:rsidRPr="00244E9E">
        <w:rPr>
          <w:sz w:val="24"/>
          <w:szCs w:val="24"/>
        </w:rPr>
        <w:t>0 PM. The bids received after the closing time will be automatically rejected.</w:t>
      </w:r>
    </w:p>
    <w:p w14:paraId="295E15C3" w14:textId="77777777" w:rsidR="00300C39" w:rsidRPr="004309F7" w:rsidRDefault="00300C39" w:rsidP="00294F9C">
      <w:pPr>
        <w:spacing w:line="360" w:lineRule="auto"/>
        <w:jc w:val="both"/>
        <w:rPr>
          <w:sz w:val="6"/>
          <w:szCs w:val="24"/>
        </w:rPr>
      </w:pPr>
    </w:p>
    <w:p w14:paraId="19759B54" w14:textId="4F21E5DF" w:rsidR="00300C39" w:rsidRPr="00244E9E" w:rsidRDefault="00300C39" w:rsidP="00294F9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Bid opening shall be held in the presence of bidders and/ or their legal representatives who wish to attend on </w:t>
      </w:r>
      <w:r w:rsidR="00C51FD8">
        <w:rPr>
          <w:sz w:val="24"/>
          <w:szCs w:val="24"/>
        </w:rPr>
        <w:t>May</w:t>
      </w:r>
      <w:r w:rsidRPr="00244E9E">
        <w:rPr>
          <w:sz w:val="24"/>
          <w:szCs w:val="24"/>
        </w:rPr>
        <w:t xml:space="preserve"> </w:t>
      </w:r>
      <w:r w:rsidR="00C51FD8">
        <w:rPr>
          <w:sz w:val="24"/>
          <w:szCs w:val="24"/>
        </w:rPr>
        <w:t>30</w:t>
      </w:r>
      <w:r w:rsidRPr="00244E9E">
        <w:rPr>
          <w:sz w:val="24"/>
          <w:szCs w:val="24"/>
        </w:rPr>
        <w:t>, 20</w:t>
      </w:r>
      <w:r>
        <w:rPr>
          <w:sz w:val="24"/>
          <w:szCs w:val="24"/>
        </w:rPr>
        <w:t>2</w:t>
      </w:r>
      <w:r w:rsidR="00C51FD8">
        <w:rPr>
          <w:sz w:val="24"/>
          <w:szCs w:val="24"/>
        </w:rPr>
        <w:t>5</w:t>
      </w:r>
      <w:r>
        <w:rPr>
          <w:sz w:val="24"/>
          <w:szCs w:val="24"/>
        </w:rPr>
        <w:t xml:space="preserve"> at 2:</w:t>
      </w:r>
      <w:r w:rsidR="00C51FD8">
        <w:rPr>
          <w:sz w:val="24"/>
          <w:szCs w:val="24"/>
        </w:rPr>
        <w:t>3</w:t>
      </w:r>
      <w:r>
        <w:rPr>
          <w:sz w:val="24"/>
          <w:szCs w:val="24"/>
        </w:rPr>
        <w:t>0 PM.</w:t>
      </w:r>
    </w:p>
    <w:p w14:paraId="4FD4B5EA" w14:textId="51DBB0D4" w:rsidR="00300C39" w:rsidRPr="00251F23" w:rsidRDefault="00300C39" w:rsidP="00294F9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44E9E">
        <w:rPr>
          <w:sz w:val="24"/>
          <w:szCs w:val="24"/>
        </w:rPr>
        <w:t>Presentation of copy of rene</w:t>
      </w:r>
      <w:r>
        <w:rPr>
          <w:sz w:val="24"/>
          <w:szCs w:val="24"/>
        </w:rPr>
        <w:t>wed T</w:t>
      </w:r>
      <w:r w:rsidRPr="00244E9E">
        <w:rPr>
          <w:sz w:val="24"/>
          <w:szCs w:val="24"/>
        </w:rPr>
        <w:t xml:space="preserve">rade license, Tax clearance certificate and VAT registration certificate </w:t>
      </w:r>
      <w:r w:rsidR="00C51FD8">
        <w:rPr>
          <w:sz w:val="24"/>
          <w:szCs w:val="24"/>
        </w:rPr>
        <w:t xml:space="preserve">and </w:t>
      </w:r>
      <w:r w:rsidR="00C51FD8" w:rsidRPr="00C51FD8">
        <w:rPr>
          <w:sz w:val="24"/>
          <w:szCs w:val="24"/>
        </w:rPr>
        <w:t>other relevant documentary evidences</w:t>
      </w:r>
      <w:r w:rsidR="00C51FD8" w:rsidRPr="00244E9E">
        <w:rPr>
          <w:sz w:val="24"/>
          <w:szCs w:val="24"/>
        </w:rPr>
        <w:t xml:space="preserve"> </w:t>
      </w:r>
      <w:r w:rsidRPr="00244E9E">
        <w:rPr>
          <w:sz w:val="24"/>
          <w:szCs w:val="24"/>
        </w:rPr>
        <w:t>is a must.</w:t>
      </w:r>
    </w:p>
    <w:p w14:paraId="5A61DC19" w14:textId="5E6A9D43" w:rsidR="00300C39" w:rsidRPr="00244E9E" w:rsidRDefault="00C51FD8" w:rsidP="00C51FD8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C51FD8">
        <w:rPr>
          <w:sz w:val="24"/>
          <w:szCs w:val="24"/>
        </w:rPr>
        <w:lastRenderedPageBreak/>
        <w:t>Interested eligible bidders may obtain further information from the office of Procurement Division Tell. +251-11-558-29-05/ +251-11-558-44-91</w:t>
      </w:r>
    </w:p>
    <w:p w14:paraId="774596D3" w14:textId="77777777" w:rsidR="00300C39" w:rsidRPr="00244E9E" w:rsidRDefault="00300C39" w:rsidP="00294F9C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244E9E">
        <w:rPr>
          <w:sz w:val="24"/>
          <w:szCs w:val="24"/>
        </w:rPr>
        <w:t>The Bank reserves the right to reject all or parts of this bid.</w:t>
      </w:r>
    </w:p>
    <w:p w14:paraId="43B8247F" w14:textId="77777777" w:rsidR="00300C39" w:rsidRPr="00E35F88" w:rsidRDefault="00300C39" w:rsidP="00294F9C">
      <w:pPr>
        <w:spacing w:line="360" w:lineRule="auto"/>
        <w:rPr>
          <w:sz w:val="6"/>
          <w:szCs w:val="24"/>
        </w:rPr>
      </w:pPr>
    </w:p>
    <w:p w14:paraId="0A5D021E" w14:textId="77777777" w:rsidR="00300C39" w:rsidRPr="00E35F88" w:rsidRDefault="00300C39" w:rsidP="00294F9C">
      <w:pPr>
        <w:spacing w:line="360" w:lineRule="auto"/>
        <w:jc w:val="center"/>
        <w:rPr>
          <w:b/>
          <w:sz w:val="18"/>
          <w:szCs w:val="32"/>
        </w:rPr>
      </w:pPr>
    </w:p>
    <w:p w14:paraId="2D26F48B" w14:textId="4266CAEE" w:rsidR="009B585A" w:rsidRDefault="00C51FD8" w:rsidP="00C51FD8">
      <w:pPr>
        <w:spacing w:line="276" w:lineRule="auto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Amhara Bank S.C</w:t>
      </w:r>
    </w:p>
    <w:p w14:paraId="6A7A7167" w14:textId="1DC3AD55" w:rsidR="00C51FD8" w:rsidRPr="00C51FD8" w:rsidRDefault="00C51FD8" w:rsidP="00294F9C">
      <w:pPr>
        <w:spacing w:line="360" w:lineRule="auto"/>
        <w:jc w:val="center"/>
        <w:rPr>
          <w:b/>
          <w:i/>
          <w:u w:val="double"/>
        </w:rPr>
      </w:pPr>
      <w:r w:rsidRPr="00C51FD8">
        <w:rPr>
          <w:b/>
          <w:i/>
          <w:sz w:val="32"/>
          <w:szCs w:val="32"/>
          <w:u w:val="double"/>
        </w:rPr>
        <w:t>Beyond Financing!</w:t>
      </w:r>
    </w:p>
    <w:sectPr w:rsidR="00C51FD8" w:rsidRPr="00C51FD8" w:rsidSect="009B58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91886"/>
    <w:multiLevelType w:val="singleLevel"/>
    <w:tmpl w:val="FCBAF4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</w:abstractNum>
  <w:num w:numId="1" w16cid:durableId="54441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0C39"/>
    <w:rsid w:val="0003486C"/>
    <w:rsid w:val="001A3FB3"/>
    <w:rsid w:val="00275A5E"/>
    <w:rsid w:val="00294F9C"/>
    <w:rsid w:val="00300C39"/>
    <w:rsid w:val="003E296D"/>
    <w:rsid w:val="003F0401"/>
    <w:rsid w:val="0044636C"/>
    <w:rsid w:val="005B6596"/>
    <w:rsid w:val="00715DC9"/>
    <w:rsid w:val="00761A07"/>
    <w:rsid w:val="007E092C"/>
    <w:rsid w:val="00987E60"/>
    <w:rsid w:val="009B585A"/>
    <w:rsid w:val="00BB4762"/>
    <w:rsid w:val="00C51FD8"/>
    <w:rsid w:val="00CE25E0"/>
    <w:rsid w:val="00D9260C"/>
    <w:rsid w:val="00ED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5C6AF"/>
  <w15:docId w15:val="{0FE6A5BC-3420-474B-9128-469E39A8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C39"/>
    <w:pPr>
      <w:widowControl w:val="0"/>
      <w:spacing w:after="0" w:line="240" w:lineRule="auto"/>
    </w:pPr>
    <w:rPr>
      <w:rFonts w:ascii="Book Antiqua" w:eastAsia="MingLiU" w:hAnsi="Book Antiqua" w:cs="Times New Roman"/>
      <w:snapToGrid w:val="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0C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0C39"/>
    <w:rPr>
      <w:rFonts w:ascii="Tahoma" w:eastAsia="MingLiU" w:hAnsi="Tahoma" w:cs="Tahoma"/>
      <w:snapToGrid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wghailemariam</dc:creator>
  <cp:lastModifiedBy>g b</cp:lastModifiedBy>
  <cp:revision>11</cp:revision>
  <cp:lastPrinted>2025-04-23T14:00:00Z</cp:lastPrinted>
  <dcterms:created xsi:type="dcterms:W3CDTF">2020-01-10T22:51:00Z</dcterms:created>
  <dcterms:modified xsi:type="dcterms:W3CDTF">2025-04-24T08:27:00Z</dcterms:modified>
</cp:coreProperties>
</file>