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F38B" w14:textId="0AE62B58" w:rsidR="008F0EB3" w:rsidRPr="00D24268" w:rsidRDefault="008F0EB3" w:rsidP="008F0EB3">
      <w:pPr>
        <w:spacing w:after="0"/>
        <w:jc w:val="center"/>
        <w:rPr>
          <w:rFonts w:ascii="Helvetica" w:hAnsi="Helvetica" w:cs="Helvetica"/>
          <w:b/>
          <w:sz w:val="32"/>
          <w:szCs w:val="28"/>
        </w:rPr>
      </w:pPr>
      <w:bookmarkStart w:id="0" w:name="_Toc239505745"/>
      <w:r w:rsidRPr="00D24268"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 wp14:anchorId="2DE6F05F" wp14:editId="26078E2D">
            <wp:simplePos x="0" y="0"/>
            <wp:positionH relativeFrom="column">
              <wp:posOffset>-654050</wp:posOffset>
            </wp:positionH>
            <wp:positionV relativeFrom="paragraph">
              <wp:posOffset>-762000</wp:posOffset>
            </wp:positionV>
            <wp:extent cx="2435961" cy="9363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0" b="2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61" cy="9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4268">
        <w:rPr>
          <w:rFonts w:ascii="Ebrima" w:hAnsi="Ebrima" w:cs="Ebrima"/>
          <w:b/>
          <w:sz w:val="32"/>
          <w:szCs w:val="28"/>
        </w:rPr>
        <w:t>አማራ</w:t>
      </w:r>
      <w:proofErr w:type="spellEnd"/>
      <w:r w:rsidRPr="00D24268">
        <w:rPr>
          <w:rFonts w:ascii="Helvetica" w:hAnsi="Helvetica" w:cs="Helvetica"/>
          <w:b/>
          <w:sz w:val="32"/>
          <w:szCs w:val="28"/>
        </w:rPr>
        <w:t xml:space="preserve"> </w:t>
      </w:r>
      <w:proofErr w:type="spellStart"/>
      <w:r w:rsidRPr="00D24268">
        <w:rPr>
          <w:rFonts w:ascii="Ebrima" w:hAnsi="Ebrima" w:cs="Ebrima"/>
          <w:b/>
          <w:sz w:val="32"/>
          <w:szCs w:val="28"/>
        </w:rPr>
        <w:t>ባንክ</w:t>
      </w:r>
      <w:proofErr w:type="spellEnd"/>
      <w:r w:rsidRPr="00D24268">
        <w:rPr>
          <w:rFonts w:ascii="Helvetica" w:hAnsi="Helvetica" w:cs="Helvetica"/>
          <w:b/>
          <w:sz w:val="32"/>
          <w:szCs w:val="28"/>
        </w:rPr>
        <w:t xml:space="preserve"> </w:t>
      </w:r>
      <w:proofErr w:type="spellStart"/>
      <w:r w:rsidRPr="00D24268">
        <w:rPr>
          <w:rFonts w:ascii="Ebrima" w:hAnsi="Ebrima" w:cs="Ebrima"/>
          <w:b/>
          <w:sz w:val="32"/>
          <w:szCs w:val="28"/>
        </w:rPr>
        <w:t>አ</w:t>
      </w:r>
      <w:r w:rsidRPr="00D24268">
        <w:rPr>
          <w:rFonts w:ascii="Helvetica" w:hAnsi="Helvetica" w:cs="Helvetica"/>
          <w:b/>
          <w:sz w:val="32"/>
          <w:szCs w:val="28"/>
        </w:rPr>
        <w:t>.</w:t>
      </w:r>
      <w:r w:rsidRPr="00D24268">
        <w:rPr>
          <w:rFonts w:ascii="Ebrima" w:hAnsi="Ebrima" w:cs="Ebrima"/>
          <w:b/>
          <w:sz w:val="32"/>
          <w:szCs w:val="28"/>
        </w:rPr>
        <w:t>ማ</w:t>
      </w:r>
      <w:proofErr w:type="spellEnd"/>
    </w:p>
    <w:p w14:paraId="5103F9AE" w14:textId="77777777" w:rsidR="008F0EB3" w:rsidRPr="00814D55" w:rsidRDefault="008F0EB3" w:rsidP="008F0EB3">
      <w:pPr>
        <w:spacing w:after="0"/>
        <w:jc w:val="center"/>
        <w:rPr>
          <w:rFonts w:ascii="Century Gothic" w:hAnsi="Century Gothic" w:cstheme="minorHAnsi"/>
          <w:b/>
          <w:sz w:val="32"/>
          <w:szCs w:val="28"/>
        </w:rPr>
      </w:pPr>
      <w:r w:rsidRPr="00C3112E">
        <w:rPr>
          <w:rFonts w:ascii="Century Gothic" w:hAnsi="Century Gothic" w:cstheme="minorHAnsi"/>
          <w:b/>
          <w:sz w:val="32"/>
          <w:szCs w:val="28"/>
        </w:rPr>
        <w:t>Amhara</w:t>
      </w:r>
      <w:r w:rsidRPr="00814D55">
        <w:rPr>
          <w:rFonts w:ascii="Century Gothic" w:hAnsi="Century Gothic" w:cstheme="minorHAnsi"/>
          <w:b/>
          <w:sz w:val="32"/>
          <w:szCs w:val="28"/>
        </w:rPr>
        <w:t xml:space="preserve"> Bank S.C.</w:t>
      </w:r>
    </w:p>
    <w:p w14:paraId="208E6E6A" w14:textId="77777777" w:rsidR="008F0EB3" w:rsidRDefault="008F0EB3" w:rsidP="008F0EB3">
      <w:pPr>
        <w:jc w:val="center"/>
        <w:rPr>
          <w:rFonts w:ascii="Century Gothic" w:hAnsi="Century Gothic" w:cstheme="minorHAnsi"/>
          <w:b/>
          <w:sz w:val="28"/>
          <w:szCs w:val="28"/>
          <w:u w:val="double"/>
        </w:rPr>
      </w:pPr>
      <w:r w:rsidRPr="00814D55">
        <w:rPr>
          <w:rFonts w:ascii="Century Gothic" w:hAnsi="Century Gothic" w:cstheme="minorHAnsi"/>
          <w:b/>
          <w:sz w:val="28"/>
          <w:szCs w:val="28"/>
          <w:u w:val="double"/>
        </w:rPr>
        <w:t xml:space="preserve">Invitation to </w:t>
      </w:r>
      <w:r w:rsidRPr="00C3112E">
        <w:rPr>
          <w:rFonts w:ascii="Century Gothic" w:hAnsi="Century Gothic" w:cstheme="minorHAnsi"/>
          <w:b/>
          <w:color w:val="FF0000"/>
          <w:sz w:val="28"/>
          <w:szCs w:val="28"/>
          <w:u w:val="double"/>
        </w:rPr>
        <w:t xml:space="preserve">National </w:t>
      </w:r>
      <w:r w:rsidRPr="00814D55">
        <w:rPr>
          <w:rFonts w:ascii="Century Gothic" w:hAnsi="Century Gothic" w:cstheme="minorHAnsi"/>
          <w:b/>
          <w:sz w:val="28"/>
          <w:szCs w:val="28"/>
          <w:u w:val="double"/>
        </w:rPr>
        <w:t>Competitive Bid (</w:t>
      </w:r>
      <w:r w:rsidRPr="00C3112E">
        <w:rPr>
          <w:rFonts w:ascii="Century Gothic" w:hAnsi="Century Gothic" w:cstheme="minorHAnsi"/>
          <w:b/>
          <w:color w:val="FF0000"/>
          <w:sz w:val="28"/>
          <w:szCs w:val="28"/>
          <w:u w:val="double"/>
        </w:rPr>
        <w:t>NCB</w:t>
      </w:r>
      <w:r w:rsidRPr="00814D55">
        <w:rPr>
          <w:rFonts w:ascii="Century Gothic" w:hAnsi="Century Gothic" w:cstheme="minorHAnsi"/>
          <w:b/>
          <w:sz w:val="28"/>
          <w:szCs w:val="28"/>
          <w:u w:val="double"/>
        </w:rPr>
        <w:t>)</w:t>
      </w:r>
    </w:p>
    <w:p w14:paraId="132EA90F" w14:textId="0A6E4321" w:rsidR="008F0EB3" w:rsidRPr="00733AFA" w:rsidRDefault="00733AFA" w:rsidP="00733AFA">
      <w:pPr>
        <w:jc w:val="right"/>
        <w:rPr>
          <w:rFonts w:ascii="Century Gothic" w:hAnsi="Century Gothic" w:cstheme="minorHAnsi"/>
          <w:b/>
          <w:sz w:val="28"/>
          <w:szCs w:val="28"/>
        </w:rPr>
      </w:pPr>
      <w:r w:rsidRPr="00733AFA">
        <w:rPr>
          <w:rFonts w:ascii="Century Gothic" w:hAnsi="Century Gothic" w:cstheme="minorHAnsi"/>
          <w:b/>
          <w:sz w:val="28"/>
          <w:szCs w:val="28"/>
        </w:rPr>
        <w:t xml:space="preserve">Retender </w:t>
      </w:r>
      <w:r w:rsidR="008F0EB3" w:rsidRPr="0000666B">
        <w:rPr>
          <w:rFonts w:ascii="Century Gothic" w:hAnsi="Century Gothic" w:cstheme="minorHAnsi"/>
          <w:b/>
          <w:sz w:val="28"/>
          <w:szCs w:val="28"/>
        </w:rPr>
        <w:t>Tender Ref. N</w:t>
      </w:r>
      <w:r w:rsidR="008F0EB3" w:rsidRPr="00733AFA">
        <w:rPr>
          <w:rFonts w:ascii="Century Gothic" w:hAnsi="Century Gothic" w:cstheme="minorHAnsi"/>
          <w:b/>
          <w:sz w:val="28"/>
          <w:szCs w:val="28"/>
        </w:rPr>
        <w:t>o</w:t>
      </w:r>
      <w:r w:rsidR="008F0EB3" w:rsidRPr="0000666B">
        <w:rPr>
          <w:rFonts w:ascii="Century Gothic" w:hAnsi="Century Gothic" w:cstheme="minorHAnsi"/>
          <w:b/>
          <w:sz w:val="28"/>
          <w:szCs w:val="28"/>
        </w:rPr>
        <w:t xml:space="preserve">: </w:t>
      </w:r>
      <w:proofErr w:type="spellStart"/>
      <w:r w:rsidR="008F0EB3">
        <w:rPr>
          <w:rFonts w:ascii="Century Gothic" w:hAnsi="Century Gothic" w:cstheme="minorHAnsi"/>
          <w:b/>
          <w:sz w:val="28"/>
          <w:szCs w:val="28"/>
        </w:rPr>
        <w:t>ABa</w:t>
      </w:r>
      <w:proofErr w:type="spellEnd"/>
      <w:r w:rsidR="008F0EB3">
        <w:rPr>
          <w:rFonts w:ascii="Century Gothic" w:hAnsi="Century Gothic" w:cstheme="minorHAnsi"/>
          <w:b/>
          <w:sz w:val="28"/>
          <w:szCs w:val="28"/>
        </w:rPr>
        <w:t>/P</w:t>
      </w:r>
      <w:r w:rsidR="002B7345">
        <w:rPr>
          <w:rFonts w:ascii="Century Gothic" w:hAnsi="Century Gothic" w:cstheme="minorHAnsi"/>
          <w:b/>
          <w:sz w:val="28"/>
          <w:szCs w:val="28"/>
        </w:rPr>
        <w:t>FM</w:t>
      </w:r>
      <w:r w:rsidR="008F0EB3">
        <w:rPr>
          <w:rFonts w:ascii="Century Gothic" w:hAnsi="Century Gothic" w:cstheme="minorHAnsi"/>
          <w:b/>
          <w:sz w:val="28"/>
          <w:szCs w:val="28"/>
        </w:rPr>
        <w:t>D</w:t>
      </w:r>
      <w:r w:rsidR="008F0EB3" w:rsidRPr="0000666B">
        <w:rPr>
          <w:rFonts w:ascii="Century Gothic" w:hAnsi="Century Gothic" w:cstheme="minorHAnsi"/>
          <w:b/>
          <w:sz w:val="28"/>
          <w:szCs w:val="28"/>
        </w:rPr>
        <w:t>/</w:t>
      </w:r>
      <w:r w:rsidR="00D81D36">
        <w:rPr>
          <w:rFonts w:ascii="Century Gothic" w:hAnsi="Century Gothic" w:cstheme="minorHAnsi"/>
          <w:b/>
          <w:sz w:val="28"/>
          <w:szCs w:val="28"/>
        </w:rPr>
        <w:t>029</w:t>
      </w:r>
      <w:r w:rsidR="008F0EB3" w:rsidRPr="0000666B">
        <w:rPr>
          <w:rFonts w:ascii="Century Gothic" w:hAnsi="Century Gothic" w:cstheme="minorHAnsi"/>
          <w:b/>
          <w:sz w:val="28"/>
          <w:szCs w:val="28"/>
        </w:rPr>
        <w:t>/202</w:t>
      </w:r>
      <w:r w:rsidR="008F0EB3">
        <w:rPr>
          <w:rFonts w:ascii="Century Gothic" w:hAnsi="Century Gothic" w:cstheme="minorHAnsi"/>
          <w:b/>
          <w:sz w:val="28"/>
          <w:szCs w:val="28"/>
        </w:rPr>
        <w:t>5</w:t>
      </w:r>
    </w:p>
    <w:p w14:paraId="0018620B" w14:textId="77777777" w:rsidR="008F0EB3" w:rsidRPr="00814D55" w:rsidRDefault="008F0EB3" w:rsidP="008F0EB3">
      <w:pPr>
        <w:suppressAutoHyphens/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4275FF50" w14:textId="77777777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t xml:space="preserve">The bank invites all interested eligible bidders to participate on the bid </w:t>
      </w:r>
      <w:r>
        <w:rPr>
          <w:rFonts w:ascii="Century Gothic" w:hAnsi="Century Gothic" w:cstheme="minorHAnsi"/>
          <w:sz w:val="24"/>
          <w:szCs w:val="24"/>
        </w:rPr>
        <w:t>as per the following details</w:t>
      </w:r>
      <w:r w:rsidRPr="00814D55">
        <w:rPr>
          <w:rFonts w:ascii="Century Gothic" w:hAnsi="Century Gothic" w:cstheme="minorHAnsi"/>
          <w:sz w:val="24"/>
          <w:szCs w:val="24"/>
        </w:rPr>
        <w:t xml:space="preserve">. </w:t>
      </w:r>
    </w:p>
    <w:tbl>
      <w:tblPr>
        <w:tblStyle w:val="TableGrid"/>
        <w:tblW w:w="97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98"/>
        <w:gridCol w:w="2430"/>
        <w:gridCol w:w="2610"/>
      </w:tblGrid>
      <w:tr w:rsidR="008F0EB3" w:rsidRPr="00814D55" w14:paraId="162ED4A0" w14:textId="77777777" w:rsidTr="00C41BAE">
        <w:trPr>
          <w:trHeight w:hRule="exact" w:val="597"/>
        </w:trPr>
        <w:tc>
          <w:tcPr>
            <w:tcW w:w="900" w:type="dxa"/>
            <w:shd w:val="clear" w:color="auto" w:fill="92CDDC" w:themeFill="accent5" w:themeFillTint="99"/>
            <w:vAlign w:val="center"/>
          </w:tcPr>
          <w:p w14:paraId="2CED743E" w14:textId="4CD35818" w:rsidR="008F0EB3" w:rsidRPr="00814D55" w:rsidRDefault="008F0EB3" w:rsidP="0048138F">
            <w:pPr>
              <w:suppressAutoHyphens/>
              <w:spacing w:line="360" w:lineRule="auto"/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theme="minorHAnsi"/>
                <w:b/>
                <w:sz w:val="24"/>
                <w:szCs w:val="24"/>
              </w:rPr>
              <w:t>S.N</w:t>
            </w:r>
            <w:r w:rsidR="00C41BAE">
              <w:rPr>
                <w:rFonts w:ascii="Century Gothic" w:hAnsi="Century Gothic" w:cstheme="minorHAnsi"/>
                <w:b/>
                <w:sz w:val="24"/>
                <w:szCs w:val="24"/>
              </w:rPr>
              <w:t>o</w:t>
            </w:r>
            <w:proofErr w:type="spellEnd"/>
            <w:r w:rsidR="00C41BAE">
              <w:rPr>
                <w:rFonts w:ascii="Century Gothic" w:hAnsi="Century Gothic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798" w:type="dxa"/>
            <w:shd w:val="clear" w:color="auto" w:fill="92CDDC" w:themeFill="accent5" w:themeFillTint="99"/>
            <w:vAlign w:val="center"/>
          </w:tcPr>
          <w:p w14:paraId="2C912D77" w14:textId="77777777" w:rsidR="008F0EB3" w:rsidRPr="00814D55" w:rsidRDefault="008F0EB3" w:rsidP="0048138F">
            <w:pPr>
              <w:suppressAutoHyphens/>
              <w:spacing w:line="360" w:lineRule="auto"/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814D55">
              <w:rPr>
                <w:rFonts w:ascii="Century Gothic" w:hAnsi="Century Gothic" w:cstheme="minorHAnsi"/>
                <w:b/>
                <w:sz w:val="24"/>
                <w:szCs w:val="24"/>
              </w:rPr>
              <w:t>Items category</w:t>
            </w:r>
          </w:p>
        </w:tc>
        <w:tc>
          <w:tcPr>
            <w:tcW w:w="2430" w:type="dxa"/>
            <w:shd w:val="clear" w:color="auto" w:fill="92CDDC" w:themeFill="accent5" w:themeFillTint="99"/>
            <w:vAlign w:val="center"/>
          </w:tcPr>
          <w:p w14:paraId="5889F7E2" w14:textId="77777777" w:rsidR="008F0EB3" w:rsidRPr="00814D55" w:rsidRDefault="008F0EB3" w:rsidP="0048138F">
            <w:pPr>
              <w:suppressAutoHyphens/>
              <w:spacing w:line="360" w:lineRule="auto"/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814D55">
              <w:rPr>
                <w:rFonts w:ascii="Century Gothic" w:hAnsi="Century Gothic" w:cstheme="minorHAnsi"/>
                <w:b/>
                <w:sz w:val="24"/>
                <w:szCs w:val="24"/>
              </w:rPr>
              <w:t>Bid  Closing Date</w:t>
            </w:r>
          </w:p>
        </w:tc>
        <w:tc>
          <w:tcPr>
            <w:tcW w:w="2610" w:type="dxa"/>
            <w:shd w:val="clear" w:color="auto" w:fill="92CDDC" w:themeFill="accent5" w:themeFillTint="99"/>
            <w:vAlign w:val="center"/>
          </w:tcPr>
          <w:p w14:paraId="3FF78825" w14:textId="77777777" w:rsidR="008F0EB3" w:rsidRPr="00814D55" w:rsidRDefault="008F0EB3" w:rsidP="0048138F">
            <w:pPr>
              <w:suppressAutoHyphens/>
              <w:spacing w:line="360" w:lineRule="auto"/>
              <w:jc w:val="center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814D55">
              <w:rPr>
                <w:rFonts w:ascii="Century Gothic" w:hAnsi="Century Gothic" w:cstheme="minorHAnsi"/>
                <w:b/>
                <w:sz w:val="24"/>
                <w:szCs w:val="24"/>
              </w:rPr>
              <w:t>Bid Opening Date</w:t>
            </w:r>
          </w:p>
        </w:tc>
      </w:tr>
      <w:tr w:rsidR="00C41BAE" w:rsidRPr="00814D55" w14:paraId="7C527711" w14:textId="77777777" w:rsidTr="00C41BAE">
        <w:trPr>
          <w:trHeight w:val="293"/>
        </w:trPr>
        <w:tc>
          <w:tcPr>
            <w:tcW w:w="900" w:type="dxa"/>
            <w:vAlign w:val="center"/>
          </w:tcPr>
          <w:p w14:paraId="5717A2EB" w14:textId="40AC344B" w:rsidR="008F0EB3" w:rsidRPr="00A41A91" w:rsidRDefault="008F0EB3" w:rsidP="0048138F">
            <w:pPr>
              <w:spacing w:line="36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1.</w:t>
            </w:r>
          </w:p>
        </w:tc>
        <w:tc>
          <w:tcPr>
            <w:tcW w:w="3798" w:type="dxa"/>
            <w:vAlign w:val="center"/>
          </w:tcPr>
          <w:p w14:paraId="40D1F626" w14:textId="77777777" w:rsidR="008F0EB3" w:rsidRPr="0000666B" w:rsidRDefault="008F0EB3" w:rsidP="0048138F">
            <w:pPr>
              <w:suppressAutoHyphens/>
              <w:jc w:val="both"/>
              <w:rPr>
                <w:rFonts w:ascii="Century Gothic" w:hAnsi="Century Gothic" w:cstheme="minorHAnsi"/>
                <w:b/>
                <w:sz w:val="24"/>
                <w:szCs w:val="24"/>
              </w:rPr>
            </w:pPr>
            <w:r w:rsidRPr="00B52C7A">
              <w:rPr>
                <w:rFonts w:ascii="Century Gothic" w:hAnsi="Century Gothic" w:cstheme="minorHAnsi"/>
                <w:sz w:val="24"/>
                <w:szCs w:val="24"/>
              </w:rPr>
              <w:t>Digital Risk Intelligence and Dark Web Monitoring Platform</w:t>
            </w:r>
          </w:p>
        </w:tc>
        <w:tc>
          <w:tcPr>
            <w:tcW w:w="2430" w:type="dxa"/>
            <w:vAlign w:val="center"/>
          </w:tcPr>
          <w:p w14:paraId="51DCF568" w14:textId="77777777" w:rsidR="008F0EB3" w:rsidRPr="00A41A91" w:rsidRDefault="008F0EB3" w:rsidP="0048138F">
            <w:pPr>
              <w:suppressAutoHyphens/>
              <w:spacing w:line="276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4BF7C50" w14:textId="4EA1C840" w:rsidR="008F0EB3" w:rsidRPr="00A41A91" w:rsidRDefault="008F0EB3" w:rsidP="008F0EB3">
            <w:pPr>
              <w:suppressAutoHyphens/>
              <w:spacing w:line="276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 xml:space="preserve">May </w:t>
            </w:r>
            <w:r w:rsidR="005550EF">
              <w:rPr>
                <w:rFonts w:ascii="Century Gothic" w:hAnsi="Century Gothic" w:cstheme="minorHAnsi"/>
                <w:sz w:val="24"/>
                <w:szCs w:val="24"/>
              </w:rPr>
              <w:t>16</w:t>
            </w:r>
            <w:r w:rsidRPr="00A41A91">
              <w:rPr>
                <w:rFonts w:ascii="Century Gothic" w:hAnsi="Century Gothic" w:cstheme="minorHAnsi"/>
                <w:sz w:val="24"/>
                <w:szCs w:val="24"/>
              </w:rPr>
              <w:t xml:space="preserve">, 2025 until 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>2</w:t>
            </w:r>
            <w:r w:rsidRPr="00A41A91">
              <w:rPr>
                <w:rFonts w:ascii="Century Gothic" w:hAnsi="Century Gothic" w:cstheme="minorHAnsi"/>
                <w:sz w:val="24"/>
                <w:szCs w:val="24"/>
              </w:rPr>
              <w:t>:00 PM</w:t>
            </w:r>
          </w:p>
        </w:tc>
        <w:tc>
          <w:tcPr>
            <w:tcW w:w="2610" w:type="dxa"/>
            <w:vAlign w:val="center"/>
          </w:tcPr>
          <w:p w14:paraId="6110C142" w14:textId="77777777" w:rsidR="008F0EB3" w:rsidRPr="00A41A91" w:rsidRDefault="008F0EB3" w:rsidP="0048138F">
            <w:pPr>
              <w:spacing w:line="36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5AD2E3A8" w14:textId="03518EB1" w:rsidR="008F0EB3" w:rsidRPr="00A41A91" w:rsidRDefault="008F0EB3" w:rsidP="0048138F">
            <w:pPr>
              <w:spacing w:line="36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A41A91">
              <w:rPr>
                <w:rFonts w:ascii="Century Gothic" w:hAnsi="Century Gothic" w:cstheme="minorHAnsi"/>
                <w:sz w:val="24"/>
                <w:szCs w:val="24"/>
              </w:rPr>
              <w:t>Ma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>y</w:t>
            </w:r>
            <w:r w:rsidRPr="00A41A91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  <w:r w:rsidR="005550EF">
              <w:rPr>
                <w:rFonts w:ascii="Century Gothic" w:hAnsi="Century Gothic" w:cstheme="minorHAnsi"/>
                <w:sz w:val="24"/>
                <w:szCs w:val="24"/>
              </w:rPr>
              <w:t>16</w:t>
            </w:r>
            <w:r w:rsidRPr="00A41A91">
              <w:rPr>
                <w:rFonts w:ascii="Century Gothic" w:hAnsi="Century Gothic" w:cstheme="minorHAnsi"/>
                <w:sz w:val="24"/>
                <w:szCs w:val="24"/>
              </w:rPr>
              <w:t xml:space="preserve">, 2025 </w:t>
            </w:r>
          </w:p>
          <w:p w14:paraId="67748656" w14:textId="616D7E4E" w:rsidR="008F0EB3" w:rsidRPr="00A41A91" w:rsidRDefault="008F0EB3" w:rsidP="008F0EB3">
            <w:pPr>
              <w:spacing w:line="360" w:lineRule="auto"/>
              <w:jc w:val="center"/>
              <w:rPr>
                <w:rFonts w:ascii="Century Gothic" w:hAnsi="Century Gothic" w:cstheme="minorHAnsi"/>
                <w:sz w:val="24"/>
                <w:szCs w:val="24"/>
              </w:rPr>
            </w:pPr>
            <w:r w:rsidRPr="00A41A91">
              <w:rPr>
                <w:rFonts w:ascii="Century Gothic" w:hAnsi="Century Gothic" w:cstheme="minorHAnsi"/>
                <w:sz w:val="24"/>
                <w:szCs w:val="24"/>
              </w:rPr>
              <w:t xml:space="preserve">at 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>2</w:t>
            </w:r>
            <w:r w:rsidRPr="00A41A91">
              <w:rPr>
                <w:rFonts w:ascii="Century Gothic" w:hAnsi="Century Gothic" w:cstheme="minorHAnsi"/>
                <w:sz w:val="24"/>
                <w:szCs w:val="24"/>
              </w:rPr>
              <w:t>:30 PM</w:t>
            </w:r>
          </w:p>
        </w:tc>
      </w:tr>
    </w:tbl>
    <w:p w14:paraId="02AEC19D" w14:textId="77777777" w:rsidR="008F0EB3" w:rsidRPr="006B6D64" w:rsidRDefault="008F0EB3" w:rsidP="008F0EB3">
      <w:pPr>
        <w:widowControl w:val="0"/>
        <w:spacing w:after="0" w:line="360" w:lineRule="auto"/>
        <w:ind w:left="720"/>
        <w:jc w:val="both"/>
        <w:rPr>
          <w:rFonts w:ascii="Century Gothic" w:hAnsi="Century Gothic" w:cstheme="minorHAnsi"/>
          <w:sz w:val="14"/>
          <w:szCs w:val="24"/>
        </w:rPr>
      </w:pPr>
    </w:p>
    <w:p w14:paraId="05465006" w14:textId="3BC285F1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t xml:space="preserve">Bid document shall be obtained 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commencing </w:t>
      </w:r>
      <w:r>
        <w:rPr>
          <w:rFonts w:ascii="Century Gothic" w:hAnsi="Century Gothic" w:cstheme="minorHAnsi"/>
          <w:b/>
          <w:sz w:val="24"/>
          <w:szCs w:val="24"/>
        </w:rPr>
        <w:t>April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 </w:t>
      </w:r>
      <w:r>
        <w:rPr>
          <w:rFonts w:ascii="Century Gothic" w:hAnsi="Century Gothic" w:cstheme="minorHAnsi"/>
          <w:b/>
          <w:sz w:val="24"/>
          <w:szCs w:val="24"/>
        </w:rPr>
        <w:t>29</w:t>
      </w:r>
      <w:r w:rsidRPr="00814D55">
        <w:rPr>
          <w:rFonts w:ascii="Century Gothic" w:hAnsi="Century Gothic" w:cstheme="minorHAnsi"/>
          <w:b/>
          <w:sz w:val="24"/>
          <w:szCs w:val="24"/>
        </w:rPr>
        <w:t>, 202</w:t>
      </w:r>
      <w:r>
        <w:rPr>
          <w:rFonts w:ascii="Century Gothic" w:hAnsi="Century Gothic" w:cstheme="minorHAnsi"/>
          <w:b/>
          <w:sz w:val="24"/>
          <w:szCs w:val="24"/>
        </w:rPr>
        <w:t>5</w:t>
      </w:r>
      <w:r w:rsidRPr="00814D55">
        <w:rPr>
          <w:rFonts w:ascii="Century Gothic" w:hAnsi="Century Gothic" w:cstheme="minorHAnsi"/>
          <w:sz w:val="24"/>
          <w:szCs w:val="24"/>
        </w:rPr>
        <w:t xml:space="preserve"> from the office of Procurement and Facility Directorate located at </w:t>
      </w:r>
      <w:r>
        <w:rPr>
          <w:rFonts w:ascii="Century Gothic" w:hAnsi="Century Gothic" w:cstheme="minorHAnsi"/>
          <w:sz w:val="24"/>
          <w:szCs w:val="24"/>
        </w:rPr>
        <w:t>Amhara</w:t>
      </w:r>
      <w:r w:rsidRPr="00814D55">
        <w:rPr>
          <w:rFonts w:ascii="Century Gothic" w:hAnsi="Century Gothic" w:cstheme="minorHAnsi"/>
          <w:sz w:val="24"/>
          <w:szCs w:val="24"/>
        </w:rPr>
        <w:t xml:space="preserve"> bank Head Office, </w:t>
      </w:r>
      <w:r>
        <w:rPr>
          <w:rFonts w:ascii="Century Gothic" w:hAnsi="Century Gothic" w:cstheme="minorHAnsi"/>
          <w:sz w:val="24"/>
          <w:szCs w:val="24"/>
        </w:rPr>
        <w:t>ORDA TOWER</w:t>
      </w:r>
      <w:r w:rsidRPr="00814D55">
        <w:rPr>
          <w:rFonts w:ascii="Century Gothic" w:hAnsi="Century Gothic" w:cstheme="minorHAnsi"/>
          <w:sz w:val="24"/>
          <w:szCs w:val="24"/>
        </w:rPr>
        <w:t xml:space="preserve">, </w:t>
      </w:r>
      <w:r>
        <w:rPr>
          <w:rFonts w:ascii="Century Gothic" w:hAnsi="Century Gothic" w:cstheme="minorHAnsi"/>
          <w:sz w:val="24"/>
          <w:szCs w:val="24"/>
        </w:rPr>
        <w:t>20</w:t>
      </w:r>
      <w:r w:rsidRPr="000302D9">
        <w:rPr>
          <w:rFonts w:ascii="Century Gothic" w:hAnsi="Century Gothic" w:cstheme="minorHAnsi"/>
          <w:sz w:val="24"/>
          <w:szCs w:val="24"/>
          <w:vertAlign w:val="superscript"/>
        </w:rPr>
        <w:t>th</w:t>
      </w:r>
      <w:r w:rsidRPr="00814D55">
        <w:rPr>
          <w:rFonts w:ascii="Century Gothic" w:hAnsi="Century Gothic" w:cstheme="minorHAnsi"/>
          <w:sz w:val="24"/>
          <w:szCs w:val="24"/>
        </w:rPr>
        <w:t xml:space="preserve"> floor (Around </w:t>
      </w:r>
      <w:r>
        <w:rPr>
          <w:rFonts w:ascii="Century Gothic" w:hAnsi="Century Gothic" w:cstheme="minorHAnsi"/>
          <w:sz w:val="24"/>
          <w:szCs w:val="24"/>
        </w:rPr>
        <w:t>Legahar)</w:t>
      </w:r>
      <w:r w:rsidRPr="00814D55">
        <w:rPr>
          <w:rFonts w:ascii="Century Gothic" w:hAnsi="Century Gothic" w:cstheme="minorHAnsi"/>
          <w:sz w:val="24"/>
          <w:szCs w:val="24"/>
        </w:rPr>
        <w:t xml:space="preserve"> upon payment of a </w:t>
      </w:r>
      <w:r w:rsidRPr="00814D55">
        <w:rPr>
          <w:rFonts w:ascii="Century Gothic" w:hAnsi="Century Gothic" w:cstheme="minorHAnsi"/>
          <w:b/>
          <w:sz w:val="24"/>
          <w:szCs w:val="24"/>
        </w:rPr>
        <w:t>non-refundable</w:t>
      </w:r>
      <w:r w:rsidRPr="00814D55">
        <w:rPr>
          <w:rFonts w:ascii="Century Gothic" w:hAnsi="Century Gothic" w:cstheme="minorHAnsi"/>
          <w:sz w:val="24"/>
          <w:szCs w:val="24"/>
        </w:rPr>
        <w:t xml:space="preserve"> fee of </w:t>
      </w:r>
      <w:r w:rsidRPr="00814D55">
        <w:rPr>
          <w:rFonts w:ascii="Century Gothic" w:hAnsi="Century Gothic" w:cstheme="minorHAnsi"/>
          <w:b/>
          <w:sz w:val="24"/>
          <w:szCs w:val="24"/>
        </w:rPr>
        <w:t>Birr</w:t>
      </w:r>
      <w:r w:rsidRPr="00814D55"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b/>
          <w:sz w:val="24"/>
          <w:szCs w:val="24"/>
        </w:rPr>
        <w:t>2</w:t>
      </w:r>
      <w:r w:rsidRPr="00814D55">
        <w:rPr>
          <w:rFonts w:ascii="Century Gothic" w:hAnsi="Century Gothic" w:cstheme="minorHAnsi"/>
          <w:b/>
          <w:sz w:val="24"/>
          <w:szCs w:val="24"/>
        </w:rPr>
        <w:t>00.00 (</w:t>
      </w:r>
      <w:r>
        <w:rPr>
          <w:rFonts w:ascii="Century Gothic" w:hAnsi="Century Gothic" w:cstheme="minorHAnsi"/>
          <w:b/>
          <w:sz w:val="24"/>
          <w:szCs w:val="24"/>
        </w:rPr>
        <w:t>Two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 Hundred Birr Only) by depositing at </w:t>
      </w:r>
      <w:r>
        <w:rPr>
          <w:rFonts w:ascii="Century Gothic" w:hAnsi="Century Gothic" w:cstheme="minorHAnsi"/>
          <w:b/>
          <w:sz w:val="24"/>
          <w:szCs w:val="24"/>
        </w:rPr>
        <w:t>Amhara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 Bank S.C, </w:t>
      </w:r>
      <w:r>
        <w:rPr>
          <w:rFonts w:ascii="Century Gothic" w:hAnsi="Century Gothic" w:cstheme="minorHAnsi"/>
          <w:b/>
          <w:sz w:val="24"/>
          <w:szCs w:val="24"/>
        </w:rPr>
        <w:t>Addis Ababa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 Branch</w:t>
      </w:r>
      <w:r>
        <w:rPr>
          <w:rFonts w:ascii="Century Gothic" w:hAnsi="Century Gothic" w:cstheme="minorHAnsi"/>
          <w:b/>
          <w:sz w:val="24"/>
          <w:szCs w:val="24"/>
        </w:rPr>
        <w:t>,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 Head office Ground floor</w:t>
      </w:r>
      <w:r w:rsidRPr="00814D55">
        <w:rPr>
          <w:rFonts w:ascii="Century Gothic" w:hAnsi="Century Gothic" w:cstheme="minorHAnsi"/>
          <w:sz w:val="24"/>
          <w:szCs w:val="24"/>
        </w:rPr>
        <w:t xml:space="preserve"> during office hours(Monday to Friday 8:00-12:00 A.M, 1:00- 5:00 P.M and Saturday 8:00-12:00 A.M). </w:t>
      </w:r>
    </w:p>
    <w:p w14:paraId="75789B32" w14:textId="61B06FC4" w:rsidR="008F0EB3" w:rsidRPr="00814D55" w:rsidRDefault="00DD621D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The </w:t>
      </w:r>
      <w:r w:rsidR="008F0EB3">
        <w:rPr>
          <w:rFonts w:ascii="Century Gothic" w:hAnsi="Century Gothic" w:cstheme="minorHAnsi"/>
          <w:sz w:val="24"/>
          <w:szCs w:val="24"/>
        </w:rPr>
        <w:t>b</w:t>
      </w:r>
      <w:r w:rsidR="008F0EB3" w:rsidRPr="00814D55">
        <w:rPr>
          <w:rFonts w:ascii="Century Gothic" w:hAnsi="Century Gothic" w:cstheme="minorHAnsi"/>
          <w:sz w:val="24"/>
          <w:szCs w:val="24"/>
        </w:rPr>
        <w:t>id s</w:t>
      </w:r>
      <w:r w:rsidR="008F0EB3">
        <w:rPr>
          <w:rFonts w:ascii="Century Gothic" w:hAnsi="Century Gothic" w:cstheme="minorHAnsi"/>
          <w:sz w:val="24"/>
          <w:szCs w:val="24"/>
        </w:rPr>
        <w:t>hall</w:t>
      </w:r>
      <w:r w:rsidR="008F0EB3" w:rsidRPr="00814D55">
        <w:rPr>
          <w:rFonts w:ascii="Century Gothic" w:hAnsi="Century Gothic" w:cstheme="minorHAnsi"/>
          <w:sz w:val="24"/>
          <w:szCs w:val="24"/>
        </w:rPr>
        <w:t xml:space="preserve"> be </w:t>
      </w:r>
      <w:r w:rsidR="008F0EB3" w:rsidRPr="00CB1719">
        <w:rPr>
          <w:rFonts w:ascii="Century Gothic" w:hAnsi="Century Gothic" w:cstheme="minorHAnsi"/>
          <w:sz w:val="24"/>
          <w:szCs w:val="24"/>
        </w:rPr>
        <w:t xml:space="preserve">accompanied by </w:t>
      </w:r>
      <w:r w:rsidR="008F0EB3" w:rsidRPr="008A03E3">
        <w:rPr>
          <w:rFonts w:ascii="Century Gothic" w:hAnsi="Century Gothic" w:cstheme="minorHAnsi"/>
          <w:sz w:val="24"/>
          <w:szCs w:val="24"/>
        </w:rPr>
        <w:t>re-fundable</w:t>
      </w:r>
      <w:r w:rsidR="008F0EB3" w:rsidRPr="00FD5977">
        <w:rPr>
          <w:rFonts w:ascii="Century Gothic" w:hAnsi="Century Gothic" w:cstheme="minorHAnsi"/>
          <w:sz w:val="24"/>
          <w:szCs w:val="24"/>
        </w:rPr>
        <w:t xml:space="preserve"> </w:t>
      </w:r>
      <w:r w:rsidR="008F0EB3">
        <w:rPr>
          <w:rFonts w:ascii="Century Gothic" w:hAnsi="Century Gothic" w:cstheme="minorHAnsi"/>
          <w:sz w:val="24"/>
          <w:szCs w:val="24"/>
        </w:rPr>
        <w:t>bid</w:t>
      </w:r>
      <w:r w:rsidR="008F0EB3" w:rsidRPr="00FD5977">
        <w:rPr>
          <w:rFonts w:ascii="Century Gothic" w:hAnsi="Century Gothic" w:cstheme="minorHAnsi"/>
          <w:sz w:val="24"/>
          <w:szCs w:val="24"/>
        </w:rPr>
        <w:t xml:space="preserve"> bond </w:t>
      </w:r>
      <w:r w:rsidR="008F0EB3" w:rsidRPr="008A03E3">
        <w:rPr>
          <w:rFonts w:ascii="Century Gothic" w:hAnsi="Century Gothic" w:cstheme="minorHAnsi"/>
          <w:sz w:val="24"/>
          <w:szCs w:val="24"/>
        </w:rPr>
        <w:t xml:space="preserve">(security bond) of </w:t>
      </w:r>
      <w:r w:rsidR="008F0EB3" w:rsidRPr="008A03E3">
        <w:rPr>
          <w:rFonts w:ascii="Century Gothic" w:hAnsi="Century Gothic" w:cstheme="minorHAnsi"/>
          <w:b/>
          <w:bCs/>
          <w:sz w:val="24"/>
          <w:szCs w:val="24"/>
        </w:rPr>
        <w:t>Birr 200,000.00 (Two Hundred Thousand)</w:t>
      </w:r>
      <w:r w:rsidR="008F0EB3" w:rsidRPr="008A03E3">
        <w:rPr>
          <w:rFonts w:ascii="Century Gothic" w:hAnsi="Century Gothic" w:cstheme="minorHAnsi"/>
          <w:sz w:val="24"/>
          <w:szCs w:val="24"/>
        </w:rPr>
        <w:t xml:space="preserve"> Re-fundable </w:t>
      </w:r>
      <w:r w:rsidR="008F0EB3" w:rsidRPr="00814D55">
        <w:rPr>
          <w:rFonts w:ascii="Century Gothic" w:hAnsi="Century Gothic" w:cstheme="minorHAnsi"/>
          <w:sz w:val="24"/>
          <w:szCs w:val="24"/>
        </w:rPr>
        <w:t xml:space="preserve">in the form of </w:t>
      </w:r>
      <w:r w:rsidR="008F0EB3" w:rsidRPr="008A03E3">
        <w:rPr>
          <w:rFonts w:ascii="Century Gothic" w:hAnsi="Century Gothic" w:cstheme="minorHAnsi"/>
          <w:sz w:val="24"/>
          <w:szCs w:val="24"/>
        </w:rPr>
        <w:t xml:space="preserve">CPO </w:t>
      </w:r>
      <w:r w:rsidR="008F0EB3" w:rsidRPr="00814D55">
        <w:rPr>
          <w:rFonts w:ascii="Century Gothic" w:hAnsi="Century Gothic" w:cstheme="minorHAnsi"/>
          <w:sz w:val="24"/>
          <w:szCs w:val="24"/>
        </w:rPr>
        <w:t>or</w:t>
      </w:r>
      <w:r w:rsidR="008F0EB3" w:rsidRPr="008A03E3">
        <w:rPr>
          <w:rFonts w:ascii="Century Gothic" w:hAnsi="Century Gothic" w:cstheme="minorHAnsi"/>
          <w:sz w:val="24"/>
          <w:szCs w:val="24"/>
        </w:rPr>
        <w:t xml:space="preserve"> Unconditional Bank Guarantee</w:t>
      </w:r>
      <w:r w:rsidR="008F0EB3" w:rsidRPr="00814D55">
        <w:rPr>
          <w:rFonts w:ascii="Century Gothic" w:hAnsi="Century Gothic" w:cstheme="minorHAnsi"/>
          <w:sz w:val="24"/>
          <w:szCs w:val="24"/>
        </w:rPr>
        <w:t xml:space="preserve"> in favor of </w:t>
      </w:r>
      <w:r w:rsidR="008F0EB3">
        <w:rPr>
          <w:rFonts w:ascii="Century Gothic" w:hAnsi="Century Gothic" w:cstheme="minorHAnsi"/>
          <w:sz w:val="24"/>
          <w:szCs w:val="24"/>
        </w:rPr>
        <w:t>Amhara</w:t>
      </w:r>
      <w:r w:rsidR="008F0EB3" w:rsidRPr="00814D55">
        <w:rPr>
          <w:rFonts w:ascii="Century Gothic" w:hAnsi="Century Gothic" w:cstheme="minorHAnsi"/>
          <w:sz w:val="24"/>
          <w:szCs w:val="24"/>
        </w:rPr>
        <w:t xml:space="preserve"> Bank S.C. with validity period not less than </w:t>
      </w:r>
      <w:r w:rsidR="008F0EB3" w:rsidRPr="008A03E3">
        <w:rPr>
          <w:rFonts w:ascii="Century Gothic" w:hAnsi="Century Gothic" w:cstheme="minorHAnsi"/>
          <w:sz w:val="24"/>
          <w:szCs w:val="24"/>
        </w:rPr>
        <w:t>120 days</w:t>
      </w:r>
      <w:r w:rsidR="008F0EB3" w:rsidRPr="00814D55">
        <w:rPr>
          <w:rFonts w:ascii="Century Gothic" w:hAnsi="Century Gothic" w:cstheme="minorHAnsi"/>
          <w:sz w:val="24"/>
          <w:szCs w:val="24"/>
        </w:rPr>
        <w:t xml:space="preserve"> from the date of bid opening.   </w:t>
      </w:r>
    </w:p>
    <w:p w14:paraId="2EE6B3A8" w14:textId="77777777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t>Bidders should submit sealed bid documents to the address, date and time specified above. The bids received after the closing time will be automatically rejected.</w:t>
      </w:r>
    </w:p>
    <w:p w14:paraId="63871151" w14:textId="77777777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t>Bid opening shall be held in the presence of bidders and/ or their legal representatives who wish to attend on the above mentioned date, time and place.</w:t>
      </w:r>
    </w:p>
    <w:p w14:paraId="4FB02FBC" w14:textId="77777777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lastRenderedPageBreak/>
        <w:t>Presentation of copy of renewed Trade license, Tax clearance certificate and VAT registration certificate is a must.</w:t>
      </w:r>
    </w:p>
    <w:p w14:paraId="35241AEF" w14:textId="590D29E9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t xml:space="preserve">Interested eligible bidders may obtain further information from office of </w:t>
      </w:r>
      <w:r>
        <w:rPr>
          <w:rFonts w:ascii="Century Gothic" w:hAnsi="Century Gothic" w:cstheme="minorHAnsi"/>
          <w:sz w:val="24"/>
          <w:szCs w:val="24"/>
        </w:rPr>
        <w:t>the</w:t>
      </w:r>
      <w:r w:rsidRPr="00814D55">
        <w:rPr>
          <w:rFonts w:ascii="Century Gothic" w:hAnsi="Century Gothic" w:cstheme="minorHAnsi"/>
          <w:sz w:val="24"/>
          <w:szCs w:val="24"/>
        </w:rPr>
        <w:t xml:space="preserve"> </w:t>
      </w:r>
      <w:r>
        <w:rPr>
          <w:rFonts w:ascii="Century Gothic" w:hAnsi="Century Gothic" w:cstheme="minorHAnsi"/>
          <w:sz w:val="24"/>
          <w:szCs w:val="24"/>
        </w:rPr>
        <w:t xml:space="preserve">Bank’s </w:t>
      </w:r>
      <w:r w:rsidRPr="00814D55">
        <w:rPr>
          <w:rFonts w:ascii="Century Gothic" w:hAnsi="Century Gothic" w:cstheme="minorHAnsi"/>
          <w:sz w:val="24"/>
          <w:szCs w:val="24"/>
        </w:rPr>
        <w:t xml:space="preserve">Procurement </w:t>
      </w:r>
      <w:r>
        <w:rPr>
          <w:rFonts w:ascii="Century Gothic" w:hAnsi="Century Gothic" w:cstheme="minorHAnsi"/>
          <w:sz w:val="24"/>
          <w:szCs w:val="24"/>
        </w:rPr>
        <w:t>Division</w:t>
      </w:r>
      <w:r w:rsidRPr="00814D55">
        <w:rPr>
          <w:rFonts w:ascii="Century Gothic" w:hAnsi="Century Gothic" w:cstheme="minorHAnsi"/>
          <w:sz w:val="24"/>
          <w:szCs w:val="24"/>
        </w:rPr>
        <w:t>, Tell. +251-11-55</w:t>
      </w:r>
      <w:r>
        <w:rPr>
          <w:rFonts w:ascii="Century Gothic" w:hAnsi="Century Gothic" w:cstheme="minorHAnsi"/>
          <w:sz w:val="24"/>
          <w:szCs w:val="24"/>
        </w:rPr>
        <w:t>8</w:t>
      </w:r>
      <w:r w:rsidRPr="00814D55">
        <w:rPr>
          <w:rFonts w:ascii="Century Gothic" w:hAnsi="Century Gothic" w:cstheme="minorHAnsi"/>
          <w:sz w:val="24"/>
          <w:szCs w:val="24"/>
        </w:rPr>
        <w:t>-</w:t>
      </w:r>
      <w:r w:rsidR="009553CD">
        <w:rPr>
          <w:rFonts w:ascii="Century Gothic" w:hAnsi="Century Gothic" w:cstheme="minorHAnsi"/>
          <w:sz w:val="24"/>
          <w:szCs w:val="24"/>
        </w:rPr>
        <w:t>29-05/</w:t>
      </w:r>
      <w:r>
        <w:rPr>
          <w:rFonts w:ascii="Century Gothic" w:hAnsi="Century Gothic" w:cstheme="minorHAnsi"/>
          <w:sz w:val="24"/>
          <w:szCs w:val="24"/>
        </w:rPr>
        <w:t>44</w:t>
      </w:r>
      <w:r w:rsidRPr="00814D55">
        <w:rPr>
          <w:rFonts w:ascii="Century Gothic" w:hAnsi="Century Gothic" w:cstheme="minorHAnsi"/>
          <w:sz w:val="24"/>
          <w:szCs w:val="24"/>
        </w:rPr>
        <w:t>-</w:t>
      </w:r>
      <w:r>
        <w:rPr>
          <w:rFonts w:ascii="Century Gothic" w:hAnsi="Century Gothic" w:cstheme="minorHAnsi"/>
          <w:sz w:val="24"/>
          <w:szCs w:val="24"/>
        </w:rPr>
        <w:t>91</w:t>
      </w:r>
      <w:r w:rsidRPr="00814D55">
        <w:rPr>
          <w:rFonts w:ascii="Century Gothic" w:hAnsi="Century Gothic" w:cstheme="minorHAnsi"/>
          <w:sz w:val="24"/>
          <w:szCs w:val="24"/>
        </w:rPr>
        <w:t>.</w:t>
      </w:r>
    </w:p>
    <w:p w14:paraId="452A2248" w14:textId="77777777" w:rsidR="008F0EB3" w:rsidRPr="00814D55" w:rsidRDefault="008F0EB3" w:rsidP="008F0EB3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theme="minorHAnsi"/>
          <w:sz w:val="24"/>
          <w:szCs w:val="24"/>
        </w:rPr>
      </w:pPr>
      <w:r w:rsidRPr="00814D55">
        <w:rPr>
          <w:rFonts w:ascii="Century Gothic" w:hAnsi="Century Gothic" w:cstheme="minorHAnsi"/>
          <w:sz w:val="24"/>
          <w:szCs w:val="24"/>
        </w:rPr>
        <w:t>The Bank reserves the right to reject all or parts of this bid.</w:t>
      </w:r>
    </w:p>
    <w:p w14:paraId="3E859627" w14:textId="77777777" w:rsidR="008F0EB3" w:rsidRPr="006B6D64" w:rsidRDefault="008F0EB3" w:rsidP="008F0EB3">
      <w:pPr>
        <w:jc w:val="center"/>
        <w:rPr>
          <w:rFonts w:ascii="Century Gothic" w:hAnsi="Century Gothic" w:cstheme="minorHAnsi"/>
          <w:b/>
          <w:sz w:val="14"/>
          <w:szCs w:val="24"/>
        </w:rPr>
      </w:pPr>
    </w:p>
    <w:p w14:paraId="25DE1A21" w14:textId="77777777" w:rsidR="008F0EB3" w:rsidRPr="00814D55" w:rsidRDefault="008F0EB3" w:rsidP="008F0EB3">
      <w:pPr>
        <w:jc w:val="center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Amhara</w:t>
      </w:r>
      <w:r w:rsidRPr="00814D55">
        <w:rPr>
          <w:rFonts w:ascii="Century Gothic" w:hAnsi="Century Gothic" w:cstheme="minorHAnsi"/>
          <w:b/>
          <w:sz w:val="24"/>
          <w:szCs w:val="24"/>
        </w:rPr>
        <w:t xml:space="preserve"> Bank S.C.</w:t>
      </w:r>
    </w:p>
    <w:p w14:paraId="549D3429" w14:textId="77777777" w:rsidR="008F0EB3" w:rsidRPr="009F07F9" w:rsidRDefault="008F0EB3" w:rsidP="008F0EB3">
      <w:pPr>
        <w:jc w:val="center"/>
        <w:rPr>
          <w:rFonts w:ascii="Century Gothic" w:hAnsi="Century Gothic" w:cstheme="minorHAnsi"/>
          <w:b/>
          <w:sz w:val="24"/>
          <w:szCs w:val="24"/>
          <w:u w:val="double"/>
        </w:rPr>
      </w:pPr>
      <w:r w:rsidRPr="009F07F9">
        <w:rPr>
          <w:rFonts w:ascii="Century Gothic" w:hAnsi="Century Gothic" w:cstheme="minorHAnsi"/>
          <w:b/>
          <w:sz w:val="24"/>
          <w:szCs w:val="24"/>
          <w:u w:val="double"/>
        </w:rPr>
        <w:t>Beyond Financing!</w:t>
      </w:r>
    </w:p>
    <w:p w14:paraId="690DC475" w14:textId="77777777" w:rsidR="009553CD" w:rsidRDefault="009553CD" w:rsidP="00E25F32">
      <w:pPr>
        <w:spacing w:after="0"/>
        <w:jc w:val="right"/>
        <w:rPr>
          <w:noProof/>
        </w:rPr>
      </w:pPr>
    </w:p>
    <w:p w14:paraId="50369D29" w14:textId="77777777" w:rsidR="009553CD" w:rsidRDefault="009553CD" w:rsidP="00E25F32">
      <w:pPr>
        <w:spacing w:after="0"/>
        <w:jc w:val="right"/>
        <w:rPr>
          <w:noProof/>
        </w:rPr>
      </w:pPr>
    </w:p>
    <w:p w14:paraId="5A3813DF" w14:textId="77777777" w:rsidR="009553CD" w:rsidRDefault="009553CD" w:rsidP="00E25F32">
      <w:pPr>
        <w:spacing w:after="0"/>
        <w:jc w:val="right"/>
        <w:rPr>
          <w:noProof/>
        </w:rPr>
      </w:pPr>
    </w:p>
    <w:p w14:paraId="345F3405" w14:textId="77777777" w:rsidR="009553CD" w:rsidRDefault="009553CD" w:rsidP="00E25F32">
      <w:pPr>
        <w:spacing w:after="0"/>
        <w:jc w:val="right"/>
        <w:rPr>
          <w:noProof/>
        </w:rPr>
      </w:pPr>
    </w:p>
    <w:p w14:paraId="435B6DC5" w14:textId="77777777" w:rsidR="009553CD" w:rsidRDefault="009553CD" w:rsidP="00E25F32">
      <w:pPr>
        <w:spacing w:after="0"/>
        <w:jc w:val="right"/>
        <w:rPr>
          <w:noProof/>
        </w:rPr>
      </w:pPr>
    </w:p>
    <w:p w14:paraId="258F031F" w14:textId="77777777" w:rsidR="009553CD" w:rsidRDefault="009553CD" w:rsidP="00E25F32">
      <w:pPr>
        <w:spacing w:after="0"/>
        <w:jc w:val="right"/>
        <w:rPr>
          <w:noProof/>
        </w:rPr>
      </w:pPr>
    </w:p>
    <w:p w14:paraId="7A778CF5" w14:textId="77777777" w:rsidR="009553CD" w:rsidRDefault="009553CD" w:rsidP="00E25F32">
      <w:pPr>
        <w:spacing w:after="0"/>
        <w:jc w:val="right"/>
        <w:rPr>
          <w:noProof/>
        </w:rPr>
      </w:pPr>
    </w:p>
    <w:p w14:paraId="576784E5" w14:textId="77777777" w:rsidR="009553CD" w:rsidRDefault="009553CD" w:rsidP="00E25F32">
      <w:pPr>
        <w:spacing w:after="0"/>
        <w:jc w:val="right"/>
        <w:rPr>
          <w:noProof/>
        </w:rPr>
      </w:pPr>
    </w:p>
    <w:p w14:paraId="396222A1" w14:textId="77777777" w:rsidR="009553CD" w:rsidRDefault="009553CD" w:rsidP="00E25F32">
      <w:pPr>
        <w:spacing w:after="0"/>
        <w:jc w:val="right"/>
        <w:rPr>
          <w:noProof/>
        </w:rPr>
      </w:pPr>
    </w:p>
    <w:p w14:paraId="04D74160" w14:textId="77777777" w:rsidR="009553CD" w:rsidRDefault="009553CD" w:rsidP="00E25F32">
      <w:pPr>
        <w:spacing w:after="0"/>
        <w:jc w:val="right"/>
        <w:rPr>
          <w:noProof/>
        </w:rPr>
      </w:pPr>
    </w:p>
    <w:p w14:paraId="50F3ACE8" w14:textId="77777777" w:rsidR="009553CD" w:rsidRDefault="009553CD" w:rsidP="00E25F32">
      <w:pPr>
        <w:spacing w:after="0"/>
        <w:jc w:val="right"/>
        <w:rPr>
          <w:noProof/>
        </w:rPr>
      </w:pPr>
    </w:p>
    <w:p w14:paraId="2F3D207E" w14:textId="77777777" w:rsidR="009553CD" w:rsidRDefault="009553CD" w:rsidP="00E25F32">
      <w:pPr>
        <w:spacing w:after="0"/>
        <w:jc w:val="right"/>
        <w:rPr>
          <w:noProof/>
        </w:rPr>
      </w:pPr>
    </w:p>
    <w:p w14:paraId="57143DF1" w14:textId="77777777" w:rsidR="009553CD" w:rsidRDefault="009553CD" w:rsidP="00E25F32">
      <w:pPr>
        <w:spacing w:after="0"/>
        <w:jc w:val="right"/>
        <w:rPr>
          <w:noProof/>
        </w:rPr>
      </w:pPr>
    </w:p>
    <w:p w14:paraId="3E991AEC" w14:textId="77777777" w:rsidR="009553CD" w:rsidRDefault="009553CD" w:rsidP="00E25F32">
      <w:pPr>
        <w:spacing w:after="0"/>
        <w:jc w:val="right"/>
        <w:rPr>
          <w:noProof/>
        </w:rPr>
      </w:pPr>
    </w:p>
    <w:p w14:paraId="12AA9772" w14:textId="77777777" w:rsidR="009553CD" w:rsidRDefault="009553CD" w:rsidP="00E25F32">
      <w:pPr>
        <w:spacing w:after="0"/>
        <w:jc w:val="right"/>
        <w:rPr>
          <w:noProof/>
        </w:rPr>
      </w:pPr>
    </w:p>
    <w:p w14:paraId="35809D5F" w14:textId="77777777" w:rsidR="009553CD" w:rsidRDefault="009553CD" w:rsidP="00E25F32">
      <w:pPr>
        <w:spacing w:after="0"/>
        <w:jc w:val="right"/>
        <w:rPr>
          <w:noProof/>
        </w:rPr>
      </w:pPr>
    </w:p>
    <w:p w14:paraId="22221EC1" w14:textId="77777777" w:rsidR="009553CD" w:rsidRDefault="009553CD" w:rsidP="00E25F32">
      <w:pPr>
        <w:spacing w:after="0"/>
        <w:jc w:val="right"/>
        <w:rPr>
          <w:noProof/>
        </w:rPr>
      </w:pPr>
    </w:p>
    <w:p w14:paraId="12029268" w14:textId="77777777" w:rsidR="009553CD" w:rsidRDefault="009553CD" w:rsidP="00E25F32">
      <w:pPr>
        <w:spacing w:after="0"/>
        <w:jc w:val="right"/>
        <w:rPr>
          <w:noProof/>
        </w:rPr>
      </w:pPr>
    </w:p>
    <w:p w14:paraId="07B74D6B" w14:textId="77777777" w:rsidR="009553CD" w:rsidRDefault="009553CD" w:rsidP="00E25F32">
      <w:pPr>
        <w:spacing w:after="0"/>
        <w:jc w:val="right"/>
        <w:rPr>
          <w:noProof/>
        </w:rPr>
      </w:pPr>
    </w:p>
    <w:p w14:paraId="1E21A6BD" w14:textId="77777777" w:rsidR="009553CD" w:rsidRDefault="009553CD" w:rsidP="00E25F32">
      <w:pPr>
        <w:spacing w:after="0"/>
        <w:jc w:val="right"/>
        <w:rPr>
          <w:noProof/>
        </w:rPr>
      </w:pPr>
    </w:p>
    <w:p w14:paraId="0C06623A" w14:textId="77777777" w:rsidR="009553CD" w:rsidRDefault="009553CD" w:rsidP="00E25F32">
      <w:pPr>
        <w:spacing w:after="0"/>
        <w:jc w:val="right"/>
        <w:rPr>
          <w:noProof/>
        </w:rPr>
      </w:pPr>
    </w:p>
    <w:p w14:paraId="6BF2FC12" w14:textId="77777777" w:rsidR="009553CD" w:rsidRDefault="009553CD" w:rsidP="00E25F32">
      <w:pPr>
        <w:spacing w:after="0"/>
        <w:jc w:val="right"/>
        <w:rPr>
          <w:noProof/>
        </w:rPr>
      </w:pPr>
    </w:p>
    <w:p w14:paraId="63BD36CC" w14:textId="77777777" w:rsidR="009553CD" w:rsidRDefault="009553CD" w:rsidP="00E25F32">
      <w:pPr>
        <w:spacing w:after="0"/>
        <w:jc w:val="right"/>
        <w:rPr>
          <w:noProof/>
        </w:rPr>
      </w:pPr>
    </w:p>
    <w:p w14:paraId="6CEC1E7A" w14:textId="77777777" w:rsidR="009553CD" w:rsidRDefault="009553CD" w:rsidP="00E25F32">
      <w:pPr>
        <w:spacing w:after="0"/>
        <w:jc w:val="right"/>
        <w:rPr>
          <w:noProof/>
        </w:rPr>
      </w:pPr>
    </w:p>
    <w:p w14:paraId="395A1D84" w14:textId="77777777" w:rsidR="009553CD" w:rsidRDefault="009553CD" w:rsidP="00E25F32">
      <w:pPr>
        <w:spacing w:after="0"/>
        <w:jc w:val="right"/>
        <w:rPr>
          <w:noProof/>
        </w:rPr>
      </w:pPr>
    </w:p>
    <w:p w14:paraId="512B19B5" w14:textId="77777777" w:rsidR="009553CD" w:rsidRDefault="009553CD" w:rsidP="00E25F32">
      <w:pPr>
        <w:spacing w:after="0"/>
        <w:jc w:val="right"/>
        <w:rPr>
          <w:noProof/>
        </w:rPr>
      </w:pPr>
    </w:p>
    <w:p w14:paraId="7D861CE7" w14:textId="77777777" w:rsidR="009553CD" w:rsidRDefault="009553CD" w:rsidP="00E25F32">
      <w:pPr>
        <w:spacing w:after="0"/>
        <w:jc w:val="right"/>
        <w:rPr>
          <w:noProof/>
        </w:rPr>
      </w:pPr>
    </w:p>
    <w:p w14:paraId="1D0FB631" w14:textId="77777777" w:rsidR="009553CD" w:rsidRDefault="009553CD" w:rsidP="00E25F32">
      <w:pPr>
        <w:spacing w:after="0"/>
        <w:jc w:val="right"/>
        <w:rPr>
          <w:noProof/>
        </w:rPr>
      </w:pPr>
    </w:p>
    <w:bookmarkEnd w:id="0"/>
    <w:p w14:paraId="7ECD3B68" w14:textId="77777777" w:rsidR="009553CD" w:rsidRDefault="009553CD" w:rsidP="00E25F32">
      <w:pPr>
        <w:spacing w:after="0"/>
        <w:jc w:val="right"/>
        <w:rPr>
          <w:noProof/>
        </w:rPr>
      </w:pPr>
    </w:p>
    <w:sectPr w:rsidR="009553CD" w:rsidSect="00B72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E7046"/>
    <w:multiLevelType w:val="hybridMultilevel"/>
    <w:tmpl w:val="D9DC4C8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D930E16"/>
    <w:multiLevelType w:val="hybridMultilevel"/>
    <w:tmpl w:val="2214B3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991886"/>
    <w:multiLevelType w:val="singleLevel"/>
    <w:tmpl w:val="B4ACC7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52ED1602"/>
    <w:multiLevelType w:val="hybridMultilevel"/>
    <w:tmpl w:val="DE24D03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5975221B"/>
    <w:multiLevelType w:val="hybridMultilevel"/>
    <w:tmpl w:val="7938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303DC"/>
    <w:multiLevelType w:val="hybridMultilevel"/>
    <w:tmpl w:val="35849050"/>
    <w:lvl w:ilvl="0" w:tplc="F9C23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24ACD"/>
    <w:multiLevelType w:val="hybridMultilevel"/>
    <w:tmpl w:val="7938E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B7766"/>
    <w:multiLevelType w:val="hybridMultilevel"/>
    <w:tmpl w:val="C9F09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3252282">
    <w:abstractNumId w:val="4"/>
  </w:num>
  <w:num w:numId="2" w16cid:durableId="295649526">
    <w:abstractNumId w:val="7"/>
  </w:num>
  <w:num w:numId="3" w16cid:durableId="1623075754">
    <w:abstractNumId w:val="5"/>
  </w:num>
  <w:num w:numId="4" w16cid:durableId="1216508279">
    <w:abstractNumId w:val="2"/>
  </w:num>
  <w:num w:numId="5" w16cid:durableId="9066880">
    <w:abstractNumId w:val="6"/>
  </w:num>
  <w:num w:numId="6" w16cid:durableId="936449093">
    <w:abstractNumId w:val="1"/>
  </w:num>
  <w:num w:numId="7" w16cid:durableId="1694528184">
    <w:abstractNumId w:val="3"/>
  </w:num>
  <w:num w:numId="8" w16cid:durableId="160792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E89"/>
    <w:rsid w:val="0000666B"/>
    <w:rsid w:val="000302D9"/>
    <w:rsid w:val="0004348D"/>
    <w:rsid w:val="00044345"/>
    <w:rsid w:val="00051B55"/>
    <w:rsid w:val="000575D7"/>
    <w:rsid w:val="00064385"/>
    <w:rsid w:val="000715D8"/>
    <w:rsid w:val="000726A1"/>
    <w:rsid w:val="00092AF9"/>
    <w:rsid w:val="000A690B"/>
    <w:rsid w:val="000D130A"/>
    <w:rsid w:val="000E3A9C"/>
    <w:rsid w:val="000F49D9"/>
    <w:rsid w:val="001255A7"/>
    <w:rsid w:val="00131A72"/>
    <w:rsid w:val="0014688A"/>
    <w:rsid w:val="001550CE"/>
    <w:rsid w:val="00155D56"/>
    <w:rsid w:val="001B3B6A"/>
    <w:rsid w:val="001C3C5C"/>
    <w:rsid w:val="001C76F5"/>
    <w:rsid w:val="001E5CD7"/>
    <w:rsid w:val="0020304B"/>
    <w:rsid w:val="00211089"/>
    <w:rsid w:val="00227A64"/>
    <w:rsid w:val="0024739A"/>
    <w:rsid w:val="00252AC2"/>
    <w:rsid w:val="00254960"/>
    <w:rsid w:val="00277C7E"/>
    <w:rsid w:val="00284EE3"/>
    <w:rsid w:val="002B7345"/>
    <w:rsid w:val="002C2312"/>
    <w:rsid w:val="002D6289"/>
    <w:rsid w:val="002E11F8"/>
    <w:rsid w:val="002E2B77"/>
    <w:rsid w:val="002F56C6"/>
    <w:rsid w:val="0030484A"/>
    <w:rsid w:val="00326F35"/>
    <w:rsid w:val="0038662C"/>
    <w:rsid w:val="003B201E"/>
    <w:rsid w:val="003B21EA"/>
    <w:rsid w:val="003C4920"/>
    <w:rsid w:val="003E6404"/>
    <w:rsid w:val="003F16B9"/>
    <w:rsid w:val="003F7580"/>
    <w:rsid w:val="00401FE8"/>
    <w:rsid w:val="00416D1E"/>
    <w:rsid w:val="00425610"/>
    <w:rsid w:val="00432D3D"/>
    <w:rsid w:val="00433D6D"/>
    <w:rsid w:val="004377FB"/>
    <w:rsid w:val="00442C94"/>
    <w:rsid w:val="004850C3"/>
    <w:rsid w:val="0048578A"/>
    <w:rsid w:val="004A46E0"/>
    <w:rsid w:val="004B4D74"/>
    <w:rsid w:val="004B5D9B"/>
    <w:rsid w:val="004E08A7"/>
    <w:rsid w:val="004E4766"/>
    <w:rsid w:val="004E6E9F"/>
    <w:rsid w:val="004F3204"/>
    <w:rsid w:val="00503788"/>
    <w:rsid w:val="00531C93"/>
    <w:rsid w:val="00546FAD"/>
    <w:rsid w:val="005546FA"/>
    <w:rsid w:val="005550EF"/>
    <w:rsid w:val="00567FF3"/>
    <w:rsid w:val="00585CB6"/>
    <w:rsid w:val="00590C1A"/>
    <w:rsid w:val="00624BF6"/>
    <w:rsid w:val="00646FF3"/>
    <w:rsid w:val="006B1C07"/>
    <w:rsid w:val="006B6D64"/>
    <w:rsid w:val="006C55A5"/>
    <w:rsid w:val="006E7C3D"/>
    <w:rsid w:val="00704AD8"/>
    <w:rsid w:val="00710EF6"/>
    <w:rsid w:val="00720E51"/>
    <w:rsid w:val="00721A01"/>
    <w:rsid w:val="00733AFA"/>
    <w:rsid w:val="00734238"/>
    <w:rsid w:val="00760EE5"/>
    <w:rsid w:val="00777923"/>
    <w:rsid w:val="0078767E"/>
    <w:rsid w:val="007F6D61"/>
    <w:rsid w:val="007F73F9"/>
    <w:rsid w:val="00814D55"/>
    <w:rsid w:val="00832EE4"/>
    <w:rsid w:val="008506D9"/>
    <w:rsid w:val="00850E5C"/>
    <w:rsid w:val="00853B22"/>
    <w:rsid w:val="00862C3F"/>
    <w:rsid w:val="00863D54"/>
    <w:rsid w:val="00875E78"/>
    <w:rsid w:val="008A03E3"/>
    <w:rsid w:val="008A634A"/>
    <w:rsid w:val="008A6AB4"/>
    <w:rsid w:val="008B0BFB"/>
    <w:rsid w:val="008E0F73"/>
    <w:rsid w:val="008F0EB3"/>
    <w:rsid w:val="008F3EEE"/>
    <w:rsid w:val="00904299"/>
    <w:rsid w:val="00907D56"/>
    <w:rsid w:val="00913361"/>
    <w:rsid w:val="00917306"/>
    <w:rsid w:val="0092294D"/>
    <w:rsid w:val="009268E0"/>
    <w:rsid w:val="00926B3F"/>
    <w:rsid w:val="00952A02"/>
    <w:rsid w:val="009553CD"/>
    <w:rsid w:val="00960B61"/>
    <w:rsid w:val="00997198"/>
    <w:rsid w:val="0099737C"/>
    <w:rsid w:val="009D7E89"/>
    <w:rsid w:val="009E26EC"/>
    <w:rsid w:val="009E607E"/>
    <w:rsid w:val="009F07F9"/>
    <w:rsid w:val="009F10D1"/>
    <w:rsid w:val="00A12CB2"/>
    <w:rsid w:val="00A25FD4"/>
    <w:rsid w:val="00A35D15"/>
    <w:rsid w:val="00A41617"/>
    <w:rsid w:val="00A41A91"/>
    <w:rsid w:val="00A54D57"/>
    <w:rsid w:val="00A57900"/>
    <w:rsid w:val="00A77B23"/>
    <w:rsid w:val="00A968DA"/>
    <w:rsid w:val="00AA7866"/>
    <w:rsid w:val="00AB55A3"/>
    <w:rsid w:val="00B15B83"/>
    <w:rsid w:val="00B2095B"/>
    <w:rsid w:val="00B3330C"/>
    <w:rsid w:val="00B3717F"/>
    <w:rsid w:val="00B41302"/>
    <w:rsid w:val="00B52C7A"/>
    <w:rsid w:val="00B54F81"/>
    <w:rsid w:val="00B66B03"/>
    <w:rsid w:val="00B701FE"/>
    <w:rsid w:val="00B7262E"/>
    <w:rsid w:val="00B9159B"/>
    <w:rsid w:val="00BB6B5F"/>
    <w:rsid w:val="00BC550D"/>
    <w:rsid w:val="00BC7994"/>
    <w:rsid w:val="00BF6540"/>
    <w:rsid w:val="00C3112E"/>
    <w:rsid w:val="00C325E6"/>
    <w:rsid w:val="00C41BAE"/>
    <w:rsid w:val="00C61432"/>
    <w:rsid w:val="00C818C7"/>
    <w:rsid w:val="00C86268"/>
    <w:rsid w:val="00CB1719"/>
    <w:rsid w:val="00CD296A"/>
    <w:rsid w:val="00D24268"/>
    <w:rsid w:val="00D33446"/>
    <w:rsid w:val="00D358F5"/>
    <w:rsid w:val="00D60170"/>
    <w:rsid w:val="00D65627"/>
    <w:rsid w:val="00D81D36"/>
    <w:rsid w:val="00DC2BE5"/>
    <w:rsid w:val="00DC2DD5"/>
    <w:rsid w:val="00DC3172"/>
    <w:rsid w:val="00DD621D"/>
    <w:rsid w:val="00DD6348"/>
    <w:rsid w:val="00DF1B95"/>
    <w:rsid w:val="00DF7FCD"/>
    <w:rsid w:val="00E16945"/>
    <w:rsid w:val="00E23472"/>
    <w:rsid w:val="00E25F32"/>
    <w:rsid w:val="00E4209C"/>
    <w:rsid w:val="00E67BE4"/>
    <w:rsid w:val="00E832E4"/>
    <w:rsid w:val="00EA4C11"/>
    <w:rsid w:val="00EC3E74"/>
    <w:rsid w:val="00EC5A95"/>
    <w:rsid w:val="00ED0459"/>
    <w:rsid w:val="00ED346E"/>
    <w:rsid w:val="00F279FA"/>
    <w:rsid w:val="00F52950"/>
    <w:rsid w:val="00F604AA"/>
    <w:rsid w:val="00F6104B"/>
    <w:rsid w:val="00F63941"/>
    <w:rsid w:val="00F73DF8"/>
    <w:rsid w:val="00F83EC7"/>
    <w:rsid w:val="00F857E9"/>
    <w:rsid w:val="00FB3629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B9A1"/>
  <w15:docId w15:val="{4C075AA1-C332-4AE8-B559-F352325C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E89"/>
    <w:pPr>
      <w:ind w:left="720"/>
      <w:contextualSpacing/>
    </w:pPr>
  </w:style>
  <w:style w:type="table" w:styleId="TableGrid">
    <w:name w:val="Table Grid"/>
    <w:basedOn w:val="TableNormal"/>
    <w:rsid w:val="009D7E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89"/>
    <w:rPr>
      <w:rFonts w:ascii="Tahoma" w:hAnsi="Tahoma" w:cs="Tahoma"/>
      <w:sz w:val="16"/>
      <w:szCs w:val="16"/>
    </w:rPr>
  </w:style>
  <w:style w:type="paragraph" w:customStyle="1" w:styleId="yiv8911375584msonormal">
    <w:name w:val="yiv8911375584msonormal"/>
    <w:basedOn w:val="Normal"/>
    <w:rsid w:val="006C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0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dgizachew</dc:creator>
  <cp:lastModifiedBy>g b</cp:lastModifiedBy>
  <cp:revision>7</cp:revision>
  <cp:lastPrinted>2020-06-26T21:59:00Z</cp:lastPrinted>
  <dcterms:created xsi:type="dcterms:W3CDTF">2025-04-25T10:58:00Z</dcterms:created>
  <dcterms:modified xsi:type="dcterms:W3CDTF">2025-04-25T11:12:00Z</dcterms:modified>
</cp:coreProperties>
</file>